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11FCA" w14:textId="2D0EEF71" w:rsidR="00427B36" w:rsidRPr="00DA0649" w:rsidRDefault="00E73418" w:rsidP="00E73418">
      <w:pPr>
        <w:pStyle w:val="Bezmezer"/>
        <w:jc w:val="center"/>
        <w:rPr>
          <w:rFonts w:ascii="Aptos" w:hAnsi="Aptos"/>
          <w:sz w:val="18"/>
          <w:szCs w:val="18"/>
        </w:rPr>
      </w:pPr>
      <w:r w:rsidRPr="00DA0649">
        <w:rPr>
          <w:rFonts w:ascii="Aptos" w:hAnsi="Aptos"/>
          <w:b/>
          <w:bCs/>
          <w:sz w:val="18"/>
          <w:szCs w:val="18"/>
        </w:rPr>
        <w:tab/>
      </w:r>
      <w:r w:rsidRPr="00DA0649">
        <w:rPr>
          <w:rFonts w:ascii="Aptos" w:hAnsi="Aptos"/>
          <w:b/>
          <w:bCs/>
          <w:sz w:val="18"/>
          <w:szCs w:val="18"/>
        </w:rPr>
        <w:tab/>
      </w:r>
      <w:r w:rsidRPr="00DA0649">
        <w:rPr>
          <w:rFonts w:ascii="Aptos" w:hAnsi="Aptos"/>
          <w:b/>
          <w:bCs/>
          <w:sz w:val="18"/>
          <w:szCs w:val="18"/>
        </w:rPr>
        <w:tab/>
      </w:r>
      <w:r w:rsidR="00427B36" w:rsidRPr="00DA0649">
        <w:rPr>
          <w:rFonts w:ascii="Aptos" w:hAnsi="Aptos"/>
          <w:b/>
          <w:bCs/>
          <w:sz w:val="18"/>
          <w:szCs w:val="18"/>
        </w:rPr>
        <w:tab/>
      </w:r>
      <w:r w:rsidR="00427B36" w:rsidRPr="00DA0649">
        <w:rPr>
          <w:rFonts w:ascii="Aptos" w:hAnsi="Aptos"/>
          <w:b/>
          <w:bCs/>
          <w:sz w:val="18"/>
          <w:szCs w:val="18"/>
        </w:rPr>
        <w:tab/>
      </w:r>
      <w:r w:rsidR="00427B36" w:rsidRPr="00DA0649">
        <w:rPr>
          <w:rFonts w:ascii="Aptos" w:hAnsi="Aptos"/>
          <w:b/>
          <w:bCs/>
          <w:sz w:val="18"/>
          <w:szCs w:val="18"/>
        </w:rPr>
        <w:tab/>
      </w:r>
      <w:r w:rsidR="00427B36" w:rsidRPr="00DA0649">
        <w:rPr>
          <w:rFonts w:ascii="Aptos" w:hAnsi="Aptos"/>
          <w:b/>
          <w:bCs/>
          <w:sz w:val="18"/>
          <w:szCs w:val="18"/>
        </w:rPr>
        <w:tab/>
      </w:r>
      <w:r w:rsidR="00427B36" w:rsidRPr="00DA0649">
        <w:rPr>
          <w:rFonts w:ascii="Aptos" w:hAnsi="Aptos"/>
          <w:b/>
          <w:bCs/>
          <w:sz w:val="18"/>
          <w:szCs w:val="18"/>
        </w:rPr>
        <w:tab/>
      </w:r>
      <w:r w:rsidR="00427B36" w:rsidRPr="00DA0649">
        <w:rPr>
          <w:rFonts w:ascii="Aptos" w:hAnsi="Aptos"/>
          <w:b/>
          <w:bCs/>
          <w:sz w:val="18"/>
          <w:szCs w:val="18"/>
        </w:rPr>
        <w:tab/>
      </w:r>
      <w:r w:rsidR="00427B36" w:rsidRPr="00DA0649">
        <w:rPr>
          <w:rFonts w:ascii="Aptos" w:hAnsi="Aptos"/>
          <w:b/>
          <w:bCs/>
          <w:sz w:val="18"/>
          <w:szCs w:val="18"/>
        </w:rPr>
        <w:tab/>
      </w:r>
      <w:r w:rsidR="00427B36" w:rsidRPr="00DA0649">
        <w:rPr>
          <w:rFonts w:ascii="Aptos" w:hAnsi="Aptos"/>
          <w:sz w:val="18"/>
          <w:szCs w:val="18"/>
        </w:rPr>
        <w:t xml:space="preserve">Praha </w:t>
      </w:r>
      <w:r w:rsidR="005F6245" w:rsidRPr="00DA0649">
        <w:rPr>
          <w:rFonts w:ascii="Aptos" w:hAnsi="Aptos"/>
          <w:sz w:val="18"/>
          <w:szCs w:val="18"/>
        </w:rPr>
        <w:t>1</w:t>
      </w:r>
      <w:r w:rsidR="009C5ED8">
        <w:rPr>
          <w:rFonts w:ascii="Aptos" w:hAnsi="Aptos"/>
          <w:sz w:val="18"/>
          <w:szCs w:val="18"/>
        </w:rPr>
        <w:t>4</w:t>
      </w:r>
      <w:r w:rsidR="00C851B3" w:rsidRPr="00DA0649">
        <w:rPr>
          <w:rFonts w:ascii="Aptos" w:hAnsi="Aptos"/>
          <w:sz w:val="18"/>
          <w:szCs w:val="18"/>
        </w:rPr>
        <w:t>.</w:t>
      </w:r>
      <w:r w:rsidR="001E0A20" w:rsidRPr="00DA0649">
        <w:rPr>
          <w:rFonts w:ascii="Aptos" w:hAnsi="Aptos"/>
          <w:sz w:val="18"/>
          <w:szCs w:val="18"/>
        </w:rPr>
        <w:t xml:space="preserve"> </w:t>
      </w:r>
      <w:r w:rsidR="005F6245" w:rsidRPr="00DA0649">
        <w:rPr>
          <w:rFonts w:ascii="Aptos" w:hAnsi="Aptos"/>
          <w:sz w:val="18"/>
          <w:szCs w:val="18"/>
        </w:rPr>
        <w:t>4</w:t>
      </w:r>
      <w:r w:rsidR="00C851B3" w:rsidRPr="00DA0649">
        <w:rPr>
          <w:rFonts w:ascii="Aptos" w:hAnsi="Aptos"/>
          <w:sz w:val="18"/>
          <w:szCs w:val="18"/>
        </w:rPr>
        <w:t>.</w:t>
      </w:r>
      <w:r w:rsidR="001E0A20" w:rsidRPr="00DA0649">
        <w:rPr>
          <w:rFonts w:ascii="Aptos" w:hAnsi="Aptos"/>
          <w:sz w:val="18"/>
          <w:szCs w:val="18"/>
        </w:rPr>
        <w:t xml:space="preserve"> </w:t>
      </w:r>
      <w:r w:rsidR="00C851B3" w:rsidRPr="00DA0649">
        <w:rPr>
          <w:rFonts w:ascii="Aptos" w:hAnsi="Aptos"/>
          <w:sz w:val="18"/>
          <w:szCs w:val="18"/>
        </w:rPr>
        <w:t>202</w:t>
      </w:r>
      <w:r w:rsidR="005F6245" w:rsidRPr="00DA0649">
        <w:rPr>
          <w:rFonts w:ascii="Aptos" w:hAnsi="Aptos"/>
          <w:sz w:val="18"/>
          <w:szCs w:val="18"/>
        </w:rPr>
        <w:t>5</w:t>
      </w:r>
    </w:p>
    <w:p w14:paraId="6D556DF1" w14:textId="77777777" w:rsidR="00490AEA" w:rsidRPr="00DA0649" w:rsidRDefault="00490AEA" w:rsidP="005F6245">
      <w:pPr>
        <w:pStyle w:val="Bezmezer"/>
        <w:rPr>
          <w:rFonts w:ascii="Aptos" w:hAnsi="Aptos"/>
          <w:b/>
          <w:bCs/>
          <w:sz w:val="20"/>
          <w:szCs w:val="20"/>
        </w:rPr>
      </w:pPr>
    </w:p>
    <w:p w14:paraId="01A257C1" w14:textId="77777777" w:rsidR="00F444E3" w:rsidRPr="00DA0649" w:rsidRDefault="00F444E3" w:rsidP="005F6245">
      <w:pPr>
        <w:pStyle w:val="Bezmezer"/>
        <w:rPr>
          <w:rFonts w:ascii="Aptos" w:hAnsi="Aptos"/>
          <w:b/>
          <w:bCs/>
          <w:sz w:val="20"/>
          <w:szCs w:val="20"/>
        </w:rPr>
      </w:pPr>
    </w:p>
    <w:p w14:paraId="7462648D" w14:textId="68B99A1B" w:rsidR="005F6245" w:rsidRPr="00DA0649" w:rsidRDefault="005F6245" w:rsidP="005F6245">
      <w:pPr>
        <w:spacing w:before="0" w:after="0" w:line="240" w:lineRule="auto"/>
        <w:jc w:val="both"/>
        <w:rPr>
          <w:rFonts w:ascii="Aptos" w:hAnsi="Aptos"/>
          <w:b/>
          <w:bCs/>
          <w:sz w:val="28"/>
          <w:szCs w:val="28"/>
        </w:rPr>
      </w:pPr>
      <w:r w:rsidRPr="00DA0649">
        <w:rPr>
          <w:rFonts w:ascii="Aptos" w:hAnsi="Aptos"/>
          <w:b/>
          <w:bCs/>
          <w:sz w:val="28"/>
          <w:szCs w:val="28"/>
        </w:rPr>
        <w:t>Nájemní bydlení na vzestupu: Investice, inovace a nový životní styl</w:t>
      </w:r>
    </w:p>
    <w:p w14:paraId="52D0AD73" w14:textId="77777777" w:rsidR="004F72DD" w:rsidRPr="00DA0649" w:rsidRDefault="004F72DD" w:rsidP="00512B52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</w:rPr>
      </w:pPr>
    </w:p>
    <w:p w14:paraId="3806EDCC" w14:textId="77777777" w:rsidR="007A264B" w:rsidRPr="00DA0649" w:rsidRDefault="007A264B" w:rsidP="00512B52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</w:rPr>
      </w:pPr>
    </w:p>
    <w:p w14:paraId="70CF3F4B" w14:textId="0A6E0527" w:rsidR="004C44BC" w:rsidRPr="00DA0649" w:rsidRDefault="004C44BC" w:rsidP="00512B52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  <w:szCs w:val="20"/>
        </w:rPr>
      </w:pPr>
      <w:r w:rsidRPr="00DA0649">
        <w:rPr>
          <w:rFonts w:ascii="Aptos" w:hAnsi="Aptos"/>
          <w:b/>
          <w:bCs/>
          <w:sz w:val="20"/>
          <w:szCs w:val="20"/>
        </w:rPr>
        <w:t>Nájemní bydlení už dávno není pouze dočasným řešením. Neustále roste jeho kvalita, profesionalita i atraktivita z pohledu</w:t>
      </w:r>
      <w:r w:rsidR="005F6245" w:rsidRPr="00DA0649">
        <w:rPr>
          <w:rFonts w:ascii="Aptos" w:hAnsi="Aptos"/>
          <w:b/>
          <w:bCs/>
          <w:sz w:val="20"/>
          <w:szCs w:val="20"/>
        </w:rPr>
        <w:t xml:space="preserve"> investic</w:t>
      </w:r>
      <w:r w:rsidRPr="00DA0649">
        <w:rPr>
          <w:rFonts w:ascii="Aptos" w:hAnsi="Aptos"/>
          <w:b/>
          <w:bCs/>
          <w:sz w:val="20"/>
          <w:szCs w:val="20"/>
        </w:rPr>
        <w:t xml:space="preserve">. Potvrdil to i Festival (nejen) nájemního bydlení, který </w:t>
      </w:r>
      <w:r w:rsidR="005F6245" w:rsidRPr="00DA0649">
        <w:rPr>
          <w:rFonts w:ascii="Aptos" w:hAnsi="Aptos"/>
          <w:b/>
          <w:bCs/>
          <w:sz w:val="20"/>
          <w:szCs w:val="20"/>
        </w:rPr>
        <w:t>uspořádala</w:t>
      </w:r>
      <w:r w:rsidRPr="00DA0649">
        <w:rPr>
          <w:rFonts w:ascii="Aptos" w:hAnsi="Aptos"/>
          <w:b/>
          <w:bCs/>
          <w:sz w:val="20"/>
          <w:szCs w:val="20"/>
        </w:rPr>
        <w:t xml:space="preserve"> společnost BTR Consulting</w:t>
      </w:r>
      <w:r w:rsidR="007A264B" w:rsidRPr="00DA0649">
        <w:rPr>
          <w:rFonts w:ascii="Aptos" w:hAnsi="Aptos"/>
          <w:b/>
          <w:bCs/>
          <w:sz w:val="20"/>
          <w:szCs w:val="20"/>
        </w:rPr>
        <w:t xml:space="preserve">, </w:t>
      </w:r>
      <w:r w:rsidRPr="00DA0649">
        <w:rPr>
          <w:rFonts w:ascii="Aptos" w:hAnsi="Aptos"/>
          <w:b/>
          <w:bCs/>
          <w:sz w:val="20"/>
          <w:szCs w:val="20"/>
        </w:rPr>
        <w:t>specialista na komplexní služby v oblasti nájemního bydlení</w:t>
      </w:r>
      <w:r w:rsidR="007A264B" w:rsidRPr="00DA0649">
        <w:rPr>
          <w:rFonts w:ascii="Aptos" w:hAnsi="Aptos"/>
          <w:b/>
          <w:bCs/>
          <w:sz w:val="20"/>
          <w:szCs w:val="20"/>
        </w:rPr>
        <w:t>,</w:t>
      </w:r>
      <w:r w:rsidRPr="00DA0649">
        <w:rPr>
          <w:rFonts w:ascii="Aptos" w:hAnsi="Aptos"/>
          <w:b/>
          <w:bCs/>
          <w:sz w:val="20"/>
          <w:szCs w:val="20"/>
        </w:rPr>
        <w:t xml:space="preserve"> ve spolupráci s Real Estate Academy. Akce ve svém rozšířeném formátu propojila klíčové aktéry napříč</w:t>
      </w:r>
      <w:r w:rsidR="00F444E3" w:rsidRPr="00DA0649">
        <w:rPr>
          <w:rFonts w:ascii="Aptos" w:hAnsi="Aptos"/>
          <w:b/>
          <w:bCs/>
          <w:sz w:val="20"/>
          <w:szCs w:val="20"/>
        </w:rPr>
        <w:t xml:space="preserve"> </w:t>
      </w:r>
      <w:r w:rsidRPr="00DA0649">
        <w:rPr>
          <w:rFonts w:ascii="Aptos" w:hAnsi="Aptos"/>
          <w:b/>
          <w:bCs/>
          <w:sz w:val="20"/>
          <w:szCs w:val="20"/>
        </w:rPr>
        <w:t>sektory – od investorů, architektů a developerů, přes právní a finanční experty, až po provozní a technologické partnery. Nabídla ucelený, prakticky orientovaný pohled na budoucnost nájemního bydlení, aktuální trendy a konkrétní řešení reagující na měnící se potřeby nájemců i investorů.</w:t>
      </w:r>
    </w:p>
    <w:p w14:paraId="5A8CC113" w14:textId="77777777" w:rsidR="007A264B" w:rsidRPr="00DA0649" w:rsidRDefault="007A264B" w:rsidP="00512B52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</w:rPr>
      </w:pPr>
    </w:p>
    <w:p w14:paraId="59BC0C71" w14:textId="025E213F" w:rsidR="004C44BC" w:rsidRPr="00DA0649" w:rsidRDefault="004C44BC" w:rsidP="00512B52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sz w:val="24"/>
          <w:szCs w:val="32"/>
        </w:rPr>
      </w:pPr>
      <w:r w:rsidRPr="00DA0649">
        <w:rPr>
          <w:rFonts w:ascii="Aptos" w:hAnsi="Aptos"/>
          <w:b/>
          <w:sz w:val="24"/>
          <w:szCs w:val="32"/>
        </w:rPr>
        <w:t>Klíčové výstupy z</w:t>
      </w:r>
      <w:r w:rsidR="007A264B" w:rsidRPr="00DA0649">
        <w:rPr>
          <w:rFonts w:ascii="Aptos" w:hAnsi="Aptos"/>
          <w:b/>
          <w:sz w:val="24"/>
          <w:szCs w:val="32"/>
        </w:rPr>
        <w:t> </w:t>
      </w:r>
      <w:r w:rsidRPr="00DA0649">
        <w:rPr>
          <w:rFonts w:ascii="Aptos" w:hAnsi="Aptos"/>
          <w:b/>
          <w:sz w:val="24"/>
          <w:szCs w:val="32"/>
        </w:rPr>
        <w:t>konference</w:t>
      </w:r>
    </w:p>
    <w:p w14:paraId="4267F76F" w14:textId="77777777" w:rsidR="007A264B" w:rsidRPr="00DA0649" w:rsidRDefault="007A264B" w:rsidP="00512B52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</w:rPr>
      </w:pPr>
    </w:p>
    <w:p w14:paraId="4B927CD8" w14:textId="4A1E9747" w:rsidR="007A264B" w:rsidRPr="00DA0649" w:rsidRDefault="004C44BC" w:rsidP="00D145C4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</w:rPr>
      </w:pPr>
      <w:r w:rsidRPr="00DA0649">
        <w:rPr>
          <w:rFonts w:ascii="Aptos" w:hAnsi="Aptos"/>
          <w:b/>
          <w:bCs/>
          <w:sz w:val="20"/>
        </w:rPr>
        <w:t>Vstup zahraničních investorů se očekává v horizontu dvou až tří let</w:t>
      </w:r>
      <w:r w:rsidRPr="00DA0649">
        <w:rPr>
          <w:rFonts w:ascii="Aptos" w:hAnsi="Aptos"/>
          <w:b/>
          <w:bCs/>
          <w:sz w:val="20"/>
          <w:szCs w:val="20"/>
        </w:rPr>
        <w:t>. Silný</w:t>
      </w:r>
      <w:r w:rsidRPr="00DA0649">
        <w:rPr>
          <w:rFonts w:ascii="Aptos" w:hAnsi="Aptos"/>
          <w:b/>
          <w:bCs/>
          <w:sz w:val="20"/>
        </w:rPr>
        <w:t xml:space="preserve"> český kapitál </w:t>
      </w:r>
      <w:r w:rsidRPr="00DA0649">
        <w:rPr>
          <w:rFonts w:ascii="Aptos" w:hAnsi="Aptos"/>
          <w:b/>
          <w:bCs/>
          <w:sz w:val="20"/>
          <w:szCs w:val="20"/>
        </w:rPr>
        <w:t xml:space="preserve">zatím </w:t>
      </w:r>
      <w:r w:rsidRPr="00DA0649">
        <w:rPr>
          <w:rFonts w:ascii="Aptos" w:hAnsi="Aptos"/>
          <w:b/>
          <w:bCs/>
          <w:sz w:val="20"/>
        </w:rPr>
        <w:t xml:space="preserve">směřuje </w:t>
      </w:r>
      <w:r w:rsidRPr="00DA0649">
        <w:rPr>
          <w:rFonts w:ascii="Aptos" w:hAnsi="Aptos"/>
          <w:b/>
          <w:bCs/>
          <w:sz w:val="20"/>
          <w:szCs w:val="20"/>
        </w:rPr>
        <w:t>především</w:t>
      </w:r>
      <w:r w:rsidRPr="00DA0649">
        <w:rPr>
          <w:rFonts w:ascii="Aptos" w:hAnsi="Aptos"/>
          <w:b/>
          <w:bCs/>
          <w:sz w:val="20"/>
        </w:rPr>
        <w:t xml:space="preserve"> do zahraničních </w:t>
      </w:r>
      <w:r w:rsidRPr="00DA0649">
        <w:rPr>
          <w:rFonts w:ascii="Aptos" w:hAnsi="Aptos"/>
          <w:b/>
          <w:bCs/>
          <w:sz w:val="20"/>
          <w:szCs w:val="20"/>
        </w:rPr>
        <w:t>projektů</w:t>
      </w:r>
      <w:r w:rsidR="00164804" w:rsidRPr="00DA0649">
        <w:rPr>
          <w:rFonts w:ascii="Aptos" w:hAnsi="Aptos"/>
          <w:b/>
          <w:bCs/>
          <w:sz w:val="20"/>
          <w:szCs w:val="20"/>
        </w:rPr>
        <w:t>, protože v tuzemsku není dostatek investičních příležitostí.</w:t>
      </w:r>
    </w:p>
    <w:p w14:paraId="43BEC8EC" w14:textId="0E34A1F9" w:rsidR="006271B8" w:rsidRPr="00DA0649" w:rsidRDefault="004C44BC" w:rsidP="00D145C4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</w:rPr>
      </w:pPr>
      <w:r w:rsidRPr="00DA0649">
        <w:rPr>
          <w:rFonts w:ascii="Aptos" w:hAnsi="Aptos"/>
          <w:b/>
          <w:bCs/>
          <w:sz w:val="20"/>
          <w:szCs w:val="20"/>
        </w:rPr>
        <w:t>Roste</w:t>
      </w:r>
      <w:r w:rsidRPr="00DA0649">
        <w:rPr>
          <w:rFonts w:ascii="Aptos" w:hAnsi="Aptos"/>
          <w:b/>
          <w:bCs/>
          <w:sz w:val="20"/>
        </w:rPr>
        <w:t xml:space="preserve"> zájem </w:t>
      </w:r>
      <w:r w:rsidR="00231202" w:rsidRPr="00DA0649">
        <w:rPr>
          <w:rFonts w:ascii="Aptos" w:hAnsi="Aptos"/>
          <w:b/>
          <w:bCs/>
          <w:sz w:val="20"/>
          <w:szCs w:val="20"/>
        </w:rPr>
        <w:t xml:space="preserve">investorů </w:t>
      </w:r>
      <w:r w:rsidRPr="00DA0649">
        <w:rPr>
          <w:rFonts w:ascii="Aptos" w:hAnsi="Aptos"/>
          <w:b/>
          <w:bCs/>
          <w:sz w:val="20"/>
        </w:rPr>
        <w:t>o krajská města a regionální centra</w:t>
      </w:r>
      <w:r w:rsidR="007A264B" w:rsidRPr="00DA0649">
        <w:rPr>
          <w:rFonts w:ascii="Aptos" w:hAnsi="Aptos"/>
          <w:b/>
          <w:bCs/>
          <w:sz w:val="20"/>
        </w:rPr>
        <w:t>.</w:t>
      </w:r>
    </w:p>
    <w:p w14:paraId="30A08411" w14:textId="4515D9F1" w:rsidR="006271B8" w:rsidRPr="00DA0649" w:rsidRDefault="004C44BC" w:rsidP="00D145C4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</w:rPr>
      </w:pPr>
      <w:r w:rsidRPr="00DA0649">
        <w:rPr>
          <w:rFonts w:ascii="Aptos" w:hAnsi="Aptos"/>
          <w:b/>
          <w:bCs/>
          <w:sz w:val="20"/>
        </w:rPr>
        <w:t xml:space="preserve">Segment BTR (Build-to-Rent) </w:t>
      </w:r>
      <w:r w:rsidRPr="00DA0649">
        <w:rPr>
          <w:rFonts w:ascii="Aptos" w:hAnsi="Aptos"/>
          <w:b/>
          <w:bCs/>
          <w:sz w:val="20"/>
          <w:szCs w:val="20"/>
        </w:rPr>
        <w:t>zažívá růst</w:t>
      </w:r>
      <w:r w:rsidRPr="00DA0649">
        <w:rPr>
          <w:rFonts w:ascii="Aptos" w:hAnsi="Aptos"/>
          <w:b/>
          <w:bCs/>
          <w:sz w:val="20"/>
        </w:rPr>
        <w:t xml:space="preserve"> – v Praze bylo </w:t>
      </w:r>
      <w:r w:rsidRPr="00DA0649">
        <w:rPr>
          <w:rFonts w:ascii="Aptos" w:hAnsi="Aptos"/>
          <w:b/>
          <w:bCs/>
          <w:sz w:val="20"/>
          <w:szCs w:val="20"/>
        </w:rPr>
        <w:t xml:space="preserve">ve </w:t>
      </w:r>
      <w:r w:rsidRPr="00DA0649">
        <w:rPr>
          <w:rFonts w:ascii="Aptos" w:hAnsi="Aptos"/>
          <w:b/>
          <w:bCs/>
          <w:sz w:val="20"/>
        </w:rPr>
        <w:t xml:space="preserve">druhém pololetí loňského roku v provozu 2 900 jednotek v </w:t>
      </w:r>
      <w:r w:rsidRPr="00DA0649">
        <w:rPr>
          <w:rFonts w:ascii="Aptos" w:hAnsi="Aptos"/>
          <w:b/>
          <w:bCs/>
          <w:sz w:val="20"/>
          <w:szCs w:val="20"/>
        </w:rPr>
        <w:t xml:space="preserve">rámci </w:t>
      </w:r>
      <w:r w:rsidRPr="00DA0649">
        <w:rPr>
          <w:rFonts w:ascii="Aptos" w:hAnsi="Aptos"/>
          <w:b/>
          <w:bCs/>
          <w:sz w:val="20"/>
        </w:rPr>
        <w:t xml:space="preserve">19 BTR </w:t>
      </w:r>
      <w:r w:rsidRPr="00DA0649">
        <w:rPr>
          <w:rFonts w:ascii="Aptos" w:hAnsi="Aptos"/>
          <w:b/>
          <w:bCs/>
          <w:sz w:val="20"/>
          <w:szCs w:val="20"/>
        </w:rPr>
        <w:t>projektů. Dalších</w:t>
      </w:r>
      <w:r w:rsidRPr="00DA0649">
        <w:rPr>
          <w:rFonts w:ascii="Aptos" w:hAnsi="Aptos"/>
          <w:b/>
          <w:bCs/>
          <w:sz w:val="20"/>
        </w:rPr>
        <w:t xml:space="preserve"> více než 9 000 bytů bylo ve fázi přípravy nebo výstavby. </w:t>
      </w:r>
      <w:r w:rsidR="005F6245" w:rsidRPr="00DA0649">
        <w:rPr>
          <w:rFonts w:ascii="Aptos" w:hAnsi="Aptos"/>
          <w:b/>
          <w:bCs/>
          <w:sz w:val="20"/>
          <w:szCs w:val="20"/>
        </w:rPr>
        <w:t xml:space="preserve">Do tří let </w:t>
      </w:r>
      <w:r w:rsidR="004F72DD" w:rsidRPr="00DA0649">
        <w:rPr>
          <w:rFonts w:ascii="Aptos" w:hAnsi="Aptos"/>
          <w:b/>
          <w:bCs/>
          <w:sz w:val="20"/>
          <w:szCs w:val="20"/>
        </w:rPr>
        <w:t>(</w:t>
      </w:r>
      <w:r w:rsidR="007A264B" w:rsidRPr="00DA0649">
        <w:rPr>
          <w:rFonts w:ascii="Aptos" w:hAnsi="Aptos"/>
          <w:b/>
          <w:bCs/>
          <w:sz w:val="20"/>
          <w:szCs w:val="20"/>
        </w:rPr>
        <w:t xml:space="preserve">v </w:t>
      </w:r>
      <w:r w:rsidRPr="00DA0649">
        <w:rPr>
          <w:rFonts w:ascii="Aptos" w:hAnsi="Aptos"/>
          <w:b/>
          <w:bCs/>
          <w:sz w:val="20"/>
          <w:szCs w:val="20"/>
        </w:rPr>
        <w:t xml:space="preserve">období </w:t>
      </w:r>
      <w:r w:rsidRPr="00DA0649">
        <w:rPr>
          <w:rFonts w:ascii="Aptos" w:hAnsi="Aptos"/>
          <w:b/>
          <w:bCs/>
          <w:sz w:val="20"/>
        </w:rPr>
        <w:t>2025–2027</w:t>
      </w:r>
      <w:r w:rsidR="007A264B" w:rsidRPr="00DA0649">
        <w:rPr>
          <w:rFonts w:ascii="Aptos" w:hAnsi="Aptos"/>
          <w:b/>
          <w:bCs/>
          <w:sz w:val="20"/>
        </w:rPr>
        <w:t>)</w:t>
      </w:r>
      <w:r w:rsidRPr="00DA0649">
        <w:rPr>
          <w:rFonts w:ascii="Aptos" w:hAnsi="Aptos"/>
          <w:b/>
          <w:bCs/>
          <w:sz w:val="20"/>
          <w:szCs w:val="20"/>
        </w:rPr>
        <w:t xml:space="preserve"> má přibýt</w:t>
      </w:r>
      <w:r w:rsidRPr="00DA0649">
        <w:rPr>
          <w:rFonts w:ascii="Aptos" w:hAnsi="Aptos"/>
          <w:b/>
          <w:bCs/>
          <w:sz w:val="20"/>
        </w:rPr>
        <w:t xml:space="preserve"> téměř 3 000 nových bytů. Ještě v roce 2022</w:t>
      </w:r>
      <w:r w:rsidR="007A264B" w:rsidRPr="00DA0649">
        <w:rPr>
          <w:rFonts w:ascii="Aptos" w:hAnsi="Aptos"/>
          <w:b/>
          <w:bCs/>
          <w:sz w:val="20"/>
        </w:rPr>
        <w:t xml:space="preserve"> přitom</w:t>
      </w:r>
      <w:r w:rsidRPr="00DA0649">
        <w:rPr>
          <w:rFonts w:ascii="Aptos" w:hAnsi="Aptos"/>
          <w:b/>
          <w:bCs/>
          <w:sz w:val="20"/>
        </w:rPr>
        <w:t xml:space="preserve"> </w:t>
      </w:r>
      <w:r w:rsidRPr="00DA0649">
        <w:rPr>
          <w:rFonts w:ascii="Aptos" w:hAnsi="Aptos"/>
          <w:b/>
          <w:bCs/>
          <w:sz w:val="20"/>
          <w:szCs w:val="20"/>
        </w:rPr>
        <w:t>existovalo pouze</w:t>
      </w:r>
      <w:r w:rsidRPr="00DA0649">
        <w:rPr>
          <w:rFonts w:ascii="Aptos" w:hAnsi="Aptos"/>
          <w:b/>
          <w:bCs/>
          <w:sz w:val="20"/>
        </w:rPr>
        <w:t xml:space="preserve"> 10 projektů s přibližně 1 000 byty</w:t>
      </w:r>
      <w:r w:rsidRPr="00DA0649">
        <w:rPr>
          <w:rFonts w:ascii="Aptos" w:hAnsi="Aptos"/>
          <w:b/>
          <w:bCs/>
          <w:sz w:val="20"/>
          <w:szCs w:val="20"/>
        </w:rPr>
        <w:t>, což</w:t>
      </w:r>
      <w:r w:rsidRPr="00DA0649">
        <w:rPr>
          <w:rFonts w:ascii="Aptos" w:hAnsi="Aptos"/>
          <w:b/>
          <w:bCs/>
          <w:sz w:val="20"/>
        </w:rPr>
        <w:t xml:space="preserve"> dokládá </w:t>
      </w:r>
      <w:r w:rsidRPr="00DA0649">
        <w:rPr>
          <w:rFonts w:ascii="Aptos" w:hAnsi="Aptos"/>
          <w:b/>
          <w:bCs/>
          <w:sz w:val="20"/>
          <w:szCs w:val="20"/>
        </w:rPr>
        <w:t>dynamický rozvoj</w:t>
      </w:r>
      <w:r w:rsidR="00B127AE" w:rsidRPr="00DA0649">
        <w:rPr>
          <w:rFonts w:ascii="Aptos" w:hAnsi="Aptos"/>
          <w:b/>
          <w:bCs/>
          <w:sz w:val="20"/>
          <w:szCs w:val="20"/>
        </w:rPr>
        <w:t xml:space="preserve"> BTR</w:t>
      </w:r>
      <w:r w:rsidRPr="00DA0649">
        <w:rPr>
          <w:rFonts w:ascii="Aptos" w:hAnsi="Aptos"/>
          <w:b/>
          <w:bCs/>
          <w:sz w:val="20"/>
        </w:rPr>
        <w:t xml:space="preserve"> segmentu.</w:t>
      </w:r>
    </w:p>
    <w:p w14:paraId="4C4F09FE" w14:textId="77777777" w:rsidR="006271B8" w:rsidRPr="00DA0649" w:rsidRDefault="004C44BC" w:rsidP="00D145C4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</w:rPr>
      </w:pPr>
      <w:r w:rsidRPr="00DA0649">
        <w:rPr>
          <w:rFonts w:ascii="Aptos" w:hAnsi="Aptos"/>
          <w:b/>
          <w:bCs/>
          <w:sz w:val="20"/>
        </w:rPr>
        <w:t>Pět největších hráčů (AFI HOME, SIKO, Mint, Trigema, Dostupné bydlení ČS) ovládá 43 % pražského trhu.</w:t>
      </w:r>
    </w:p>
    <w:p w14:paraId="4BE5D2D3" w14:textId="7E69CBAF" w:rsidR="006271B8" w:rsidRPr="00DA0649" w:rsidRDefault="004C44BC" w:rsidP="00D145C4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</w:rPr>
      </w:pPr>
      <w:r w:rsidRPr="00DA0649">
        <w:rPr>
          <w:rFonts w:ascii="Aptos" w:hAnsi="Aptos"/>
          <w:b/>
          <w:bCs/>
          <w:sz w:val="20"/>
        </w:rPr>
        <w:t xml:space="preserve">Konverze starších kanceláří a hotelů </w:t>
      </w:r>
      <w:r w:rsidRPr="00DA0649">
        <w:rPr>
          <w:rFonts w:ascii="Aptos" w:hAnsi="Aptos"/>
          <w:b/>
          <w:bCs/>
          <w:sz w:val="20"/>
          <w:szCs w:val="20"/>
        </w:rPr>
        <w:t>aktuálně</w:t>
      </w:r>
      <w:r w:rsidRPr="00DA0649">
        <w:rPr>
          <w:rFonts w:ascii="Aptos" w:hAnsi="Aptos"/>
          <w:b/>
          <w:bCs/>
          <w:sz w:val="20"/>
        </w:rPr>
        <w:t xml:space="preserve"> tvoří</w:t>
      </w:r>
      <w:r w:rsidR="005F6245" w:rsidRPr="00DA0649">
        <w:rPr>
          <w:rFonts w:ascii="Aptos" w:hAnsi="Aptos"/>
          <w:b/>
          <w:bCs/>
          <w:sz w:val="20"/>
          <w:szCs w:val="20"/>
        </w:rPr>
        <w:t xml:space="preserve"> již</w:t>
      </w:r>
      <w:r w:rsidRPr="00DA0649">
        <w:rPr>
          <w:rFonts w:ascii="Aptos" w:hAnsi="Aptos"/>
          <w:b/>
          <w:bCs/>
          <w:sz w:val="20"/>
        </w:rPr>
        <w:t xml:space="preserve"> 6 % všech BTR projektů v hlavním městě.</w:t>
      </w:r>
    </w:p>
    <w:p w14:paraId="276CDA83" w14:textId="6B1CEFA4" w:rsidR="006271B8" w:rsidRPr="00DA0649" w:rsidRDefault="004C44BC" w:rsidP="00D145C4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</w:rPr>
      </w:pPr>
      <w:r w:rsidRPr="00DA0649">
        <w:rPr>
          <w:rFonts w:ascii="Aptos" w:hAnsi="Aptos"/>
          <w:b/>
          <w:bCs/>
          <w:sz w:val="20"/>
        </w:rPr>
        <w:t xml:space="preserve">Klíčová je optimalizace projektů </w:t>
      </w:r>
      <w:r w:rsidRPr="00DA0649">
        <w:rPr>
          <w:rFonts w:ascii="Aptos" w:hAnsi="Aptos"/>
          <w:b/>
          <w:bCs/>
          <w:sz w:val="20"/>
          <w:szCs w:val="20"/>
        </w:rPr>
        <w:t>už v rané</w:t>
      </w:r>
      <w:r w:rsidRPr="00DA0649">
        <w:rPr>
          <w:rFonts w:ascii="Aptos" w:hAnsi="Aptos"/>
          <w:b/>
          <w:bCs/>
          <w:sz w:val="20"/>
        </w:rPr>
        <w:t xml:space="preserve"> fázi přípravy, stejně jako kvalitní správa a péče o nájemníky. Významně napomáhá i </w:t>
      </w:r>
      <w:r w:rsidRPr="00DA0649">
        <w:rPr>
          <w:rFonts w:ascii="Aptos" w:hAnsi="Aptos"/>
          <w:b/>
          <w:bCs/>
          <w:sz w:val="20"/>
          <w:szCs w:val="20"/>
        </w:rPr>
        <w:t xml:space="preserve">využití BIM </w:t>
      </w:r>
      <w:r w:rsidRPr="00DA0649">
        <w:rPr>
          <w:rFonts w:ascii="Aptos" w:hAnsi="Aptos"/>
          <w:b/>
          <w:bCs/>
          <w:sz w:val="20"/>
        </w:rPr>
        <w:t xml:space="preserve">modelování, které umožňuje efektivnější provoz a </w:t>
      </w:r>
      <w:r w:rsidRPr="00DA0649">
        <w:rPr>
          <w:rFonts w:ascii="Aptos" w:hAnsi="Aptos"/>
          <w:b/>
          <w:bCs/>
          <w:sz w:val="20"/>
          <w:szCs w:val="20"/>
        </w:rPr>
        <w:t>snižuje</w:t>
      </w:r>
      <w:r w:rsidRPr="00DA0649">
        <w:rPr>
          <w:rFonts w:ascii="Aptos" w:hAnsi="Aptos"/>
          <w:b/>
          <w:bCs/>
          <w:sz w:val="20"/>
        </w:rPr>
        <w:t xml:space="preserve"> administrativní náklady.</w:t>
      </w:r>
    </w:p>
    <w:p w14:paraId="12FFAFF3" w14:textId="502268A7" w:rsidR="006271B8" w:rsidRPr="00DA0649" w:rsidRDefault="004C44BC" w:rsidP="00D145C4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</w:rPr>
      </w:pPr>
      <w:r w:rsidRPr="00DA0649">
        <w:rPr>
          <w:rFonts w:ascii="Aptos" w:hAnsi="Aptos"/>
          <w:b/>
          <w:bCs/>
          <w:sz w:val="20"/>
        </w:rPr>
        <w:t>Největší poptávka je po bytech 1+kk a 2+kk, přičemž optimální průměrná velikost bytové jednotky v BTR projektu je zhruba 40 m². Nájemníci očekávají komfort,</w:t>
      </w:r>
      <w:r w:rsidRPr="00DA0649">
        <w:rPr>
          <w:rFonts w:ascii="Aptos" w:hAnsi="Aptos"/>
          <w:b/>
          <w:bCs/>
          <w:sz w:val="20"/>
          <w:szCs w:val="20"/>
        </w:rPr>
        <w:t xml:space="preserve"> kvalitní</w:t>
      </w:r>
      <w:r w:rsidRPr="00DA0649">
        <w:rPr>
          <w:rFonts w:ascii="Aptos" w:hAnsi="Aptos"/>
          <w:b/>
          <w:bCs/>
          <w:sz w:val="20"/>
        </w:rPr>
        <w:t xml:space="preserve"> služby, komunitní zázemí a důraz na udržitelnost.</w:t>
      </w:r>
    </w:p>
    <w:p w14:paraId="4EB86866" w14:textId="77777777" w:rsidR="006271B8" w:rsidRPr="00DA0649" w:rsidRDefault="004C44BC" w:rsidP="00D145C4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</w:rPr>
      </w:pPr>
      <w:r w:rsidRPr="00DA0649">
        <w:rPr>
          <w:rFonts w:ascii="Aptos" w:hAnsi="Aptos"/>
          <w:b/>
          <w:bCs/>
          <w:sz w:val="20"/>
        </w:rPr>
        <w:t>Principy ESG, chytré technologie a digitalizace formují budoucnost správy nájemních nemovitostí. Roste důraz na elektronický bezkontaktní vstup, evidenci návštěv, digitální správu nájmů i sledování provozních nákladů v reálném čase.</w:t>
      </w:r>
    </w:p>
    <w:p w14:paraId="480F16BE" w14:textId="0679B836" w:rsidR="006271B8" w:rsidRPr="00DA0649" w:rsidRDefault="004C44BC" w:rsidP="00D145C4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</w:rPr>
      </w:pPr>
      <w:r w:rsidRPr="00DA0649">
        <w:rPr>
          <w:rFonts w:ascii="Aptos" w:hAnsi="Aptos"/>
          <w:b/>
          <w:bCs/>
          <w:sz w:val="20"/>
        </w:rPr>
        <w:t xml:space="preserve">Spokojenost </w:t>
      </w:r>
      <w:r w:rsidRPr="00DA0649">
        <w:rPr>
          <w:rFonts w:ascii="Aptos" w:hAnsi="Aptos"/>
          <w:b/>
          <w:bCs/>
          <w:sz w:val="20"/>
          <w:szCs w:val="20"/>
        </w:rPr>
        <w:t>nájemců je</w:t>
      </w:r>
      <w:r w:rsidRPr="00DA0649">
        <w:rPr>
          <w:rFonts w:ascii="Aptos" w:hAnsi="Aptos"/>
          <w:b/>
          <w:bCs/>
          <w:sz w:val="20"/>
        </w:rPr>
        <w:t xml:space="preserve"> dnes </w:t>
      </w:r>
      <w:r w:rsidRPr="00DA0649">
        <w:rPr>
          <w:rFonts w:ascii="Aptos" w:hAnsi="Aptos"/>
          <w:b/>
          <w:bCs/>
          <w:sz w:val="20"/>
          <w:szCs w:val="20"/>
        </w:rPr>
        <w:t>více ovlivněna kvalitou</w:t>
      </w:r>
      <w:r w:rsidRPr="00DA0649">
        <w:rPr>
          <w:rFonts w:ascii="Aptos" w:hAnsi="Aptos"/>
          <w:b/>
          <w:bCs/>
          <w:sz w:val="20"/>
        </w:rPr>
        <w:t xml:space="preserve"> projektu a </w:t>
      </w:r>
      <w:r w:rsidRPr="00DA0649">
        <w:rPr>
          <w:rFonts w:ascii="Aptos" w:hAnsi="Aptos"/>
          <w:b/>
          <w:bCs/>
          <w:sz w:val="20"/>
          <w:szCs w:val="20"/>
        </w:rPr>
        <w:t>komunitního života</w:t>
      </w:r>
      <w:r w:rsidRPr="00DA0649">
        <w:rPr>
          <w:rFonts w:ascii="Aptos" w:hAnsi="Aptos"/>
          <w:b/>
          <w:bCs/>
          <w:sz w:val="20"/>
        </w:rPr>
        <w:t xml:space="preserve"> než </w:t>
      </w:r>
      <w:r w:rsidRPr="00DA0649">
        <w:rPr>
          <w:rFonts w:ascii="Aptos" w:hAnsi="Aptos"/>
          <w:b/>
          <w:bCs/>
          <w:sz w:val="20"/>
          <w:szCs w:val="20"/>
        </w:rPr>
        <w:t>blízkostí</w:t>
      </w:r>
      <w:r w:rsidRPr="00DA0649">
        <w:rPr>
          <w:rFonts w:ascii="Aptos" w:hAnsi="Aptos"/>
          <w:b/>
          <w:bCs/>
          <w:sz w:val="20"/>
        </w:rPr>
        <w:t xml:space="preserve"> metra.</w:t>
      </w:r>
    </w:p>
    <w:p w14:paraId="3C702016" w14:textId="1C69395E" w:rsidR="006271B8" w:rsidRPr="00DA0649" w:rsidRDefault="004C44BC" w:rsidP="00B127AE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</w:rPr>
      </w:pPr>
      <w:r w:rsidRPr="00DA0649">
        <w:rPr>
          <w:rFonts w:ascii="Aptos" w:hAnsi="Aptos"/>
          <w:b/>
          <w:bCs/>
          <w:sz w:val="20"/>
        </w:rPr>
        <w:t xml:space="preserve">Standardizace </w:t>
      </w:r>
      <w:r w:rsidRPr="00DA0649">
        <w:rPr>
          <w:rFonts w:ascii="Aptos" w:hAnsi="Aptos"/>
          <w:b/>
          <w:bCs/>
          <w:sz w:val="20"/>
          <w:szCs w:val="20"/>
        </w:rPr>
        <w:t>bytových jednotek</w:t>
      </w:r>
      <w:r w:rsidRPr="00DA0649">
        <w:rPr>
          <w:rFonts w:ascii="Aptos" w:hAnsi="Aptos"/>
          <w:b/>
          <w:bCs/>
          <w:sz w:val="20"/>
        </w:rPr>
        <w:t xml:space="preserve"> a výběr vhodných materiálů jsou </w:t>
      </w:r>
      <w:r w:rsidRPr="00DA0649">
        <w:rPr>
          <w:rFonts w:ascii="Aptos" w:hAnsi="Aptos"/>
          <w:b/>
          <w:bCs/>
          <w:sz w:val="20"/>
          <w:szCs w:val="20"/>
        </w:rPr>
        <w:t>klíčem k dlouhodobé ekonomické udržitelnosti.</w:t>
      </w:r>
      <w:r w:rsidRPr="00DA0649">
        <w:rPr>
          <w:rFonts w:ascii="Aptos" w:hAnsi="Aptos"/>
          <w:b/>
          <w:bCs/>
          <w:sz w:val="20"/>
        </w:rPr>
        <w:t xml:space="preserve"> Výhodou je </w:t>
      </w:r>
      <w:r w:rsidRPr="00DA0649">
        <w:rPr>
          <w:rFonts w:ascii="Aptos" w:hAnsi="Aptos"/>
          <w:b/>
          <w:bCs/>
          <w:sz w:val="20"/>
          <w:szCs w:val="20"/>
        </w:rPr>
        <w:t>také</w:t>
      </w:r>
      <w:r w:rsidRPr="00DA0649">
        <w:rPr>
          <w:rFonts w:ascii="Aptos" w:hAnsi="Aptos"/>
          <w:b/>
          <w:bCs/>
          <w:sz w:val="20"/>
        </w:rPr>
        <w:t xml:space="preserve"> variabilita </w:t>
      </w:r>
      <w:r w:rsidR="00B248C2" w:rsidRPr="00DA0649">
        <w:rPr>
          <w:rFonts w:ascii="Aptos" w:hAnsi="Aptos"/>
          <w:b/>
          <w:bCs/>
          <w:sz w:val="20"/>
        </w:rPr>
        <w:t xml:space="preserve">designových </w:t>
      </w:r>
      <w:r w:rsidRPr="00DA0649">
        <w:rPr>
          <w:rFonts w:ascii="Aptos" w:hAnsi="Aptos"/>
          <w:b/>
          <w:bCs/>
          <w:sz w:val="20"/>
        </w:rPr>
        <w:t>konceptů v rámci jednoho projektu</w:t>
      </w:r>
      <w:r w:rsidRPr="00DA0649">
        <w:rPr>
          <w:rFonts w:ascii="Aptos" w:hAnsi="Aptos"/>
          <w:b/>
          <w:bCs/>
          <w:sz w:val="20"/>
          <w:szCs w:val="20"/>
        </w:rPr>
        <w:t>, která rozšiřuje</w:t>
      </w:r>
      <w:r w:rsidRPr="00DA0649">
        <w:rPr>
          <w:rFonts w:ascii="Aptos" w:hAnsi="Aptos"/>
          <w:b/>
          <w:bCs/>
          <w:sz w:val="20"/>
        </w:rPr>
        <w:t xml:space="preserve"> cílovou skupinu.</w:t>
      </w:r>
    </w:p>
    <w:p w14:paraId="74EF54B2" w14:textId="77777777" w:rsidR="00F444E3" w:rsidRPr="00DA0649" w:rsidRDefault="00F444E3" w:rsidP="00F444E3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</w:rPr>
      </w:pPr>
    </w:p>
    <w:p w14:paraId="71BE27B6" w14:textId="77777777" w:rsidR="006271B8" w:rsidRPr="00DA0649" w:rsidRDefault="006271B8" w:rsidP="006271B8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42650FB5" w14:textId="3DE09256" w:rsidR="004C44BC" w:rsidRPr="00DA0649" w:rsidRDefault="004C44BC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 xml:space="preserve">Společenské změny zásadně ovlivňují přístup lidí k bydlení. Stárnoucí populace vede k nárůstu jednočlenných domácností seniorů, mladší generace dává přednost nájmu před vlastnictvím. Generace Z a mileniálové upřednostňují flexibilitu, kvalitní služby a moderní bydlení odpovídající jejich životnímu stylu – důraz kladou na technologie, udržitelnost a komunitu. Vzhledem k rostoucím cenám nemovitostí a </w:t>
      </w:r>
      <w:r w:rsidRPr="00DA0649">
        <w:rPr>
          <w:rFonts w:ascii="Aptos" w:hAnsi="Aptos"/>
          <w:sz w:val="20"/>
          <w:szCs w:val="20"/>
        </w:rPr>
        <w:lastRenderedPageBreak/>
        <w:t xml:space="preserve">vysokým úrokovým sazbám se stává vlastnické bydlení pro mnoho domácností </w:t>
      </w:r>
      <w:r w:rsidR="00014B12" w:rsidRPr="00DA0649">
        <w:rPr>
          <w:rFonts w:ascii="Aptos" w:hAnsi="Aptos"/>
          <w:sz w:val="20"/>
          <w:szCs w:val="20"/>
        </w:rPr>
        <w:t>prakticky</w:t>
      </w:r>
      <w:r w:rsidR="005F6245" w:rsidRPr="00DA0649">
        <w:rPr>
          <w:rFonts w:ascii="Aptos" w:hAnsi="Aptos"/>
          <w:sz w:val="20"/>
          <w:szCs w:val="20"/>
        </w:rPr>
        <w:t xml:space="preserve"> </w:t>
      </w:r>
      <w:r w:rsidRPr="00DA0649">
        <w:rPr>
          <w:rFonts w:ascii="Aptos" w:hAnsi="Aptos"/>
          <w:sz w:val="20"/>
          <w:szCs w:val="20"/>
        </w:rPr>
        <w:t>nedostupné. Nájem se tak jeví jako ideální řešení – nejen v Praze, ale i v dalších regionálních městech.</w:t>
      </w:r>
    </w:p>
    <w:p w14:paraId="0F63559D" w14:textId="77777777" w:rsidR="006271B8" w:rsidRPr="00DA0649" w:rsidRDefault="006271B8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3A187210" w14:textId="77CE6A92" w:rsidR="004C44BC" w:rsidRPr="00DA0649" w:rsidRDefault="0002567F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  <w:szCs w:val="20"/>
        </w:rPr>
      </w:pPr>
      <w:r w:rsidRPr="00DA0649">
        <w:rPr>
          <w:rFonts w:ascii="Aptos" w:hAnsi="Aptos"/>
          <w:b/>
          <w:bCs/>
          <w:sz w:val="20"/>
          <w:szCs w:val="20"/>
        </w:rPr>
        <w:t>Nové</w:t>
      </w:r>
      <w:r w:rsidR="004C44BC" w:rsidRPr="00DA0649">
        <w:rPr>
          <w:rFonts w:ascii="Aptos" w:hAnsi="Aptos"/>
          <w:b/>
          <w:bCs/>
          <w:sz w:val="20"/>
          <w:szCs w:val="20"/>
        </w:rPr>
        <w:t xml:space="preserve"> investiční směry</w:t>
      </w:r>
    </w:p>
    <w:p w14:paraId="7DD068D8" w14:textId="77777777" w:rsidR="006271B8" w:rsidRPr="00DA0649" w:rsidRDefault="006271B8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3D4782BC" w14:textId="0B79889B" w:rsidR="0002567F" w:rsidRPr="00DA0649" w:rsidRDefault="0002567F" w:rsidP="0002567F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Současně se trh konsoliduje. Silní hráči posilují v segmentu nájemního bydlení – to považují za stabilnější, méně závislé na hypotečním trhu a více odpovídající dnešnímu životnímu stylu. Otázkou tedy není, zda čeští investoři investovat budou, ale kde. A stále častěji se dívají za hranice.</w:t>
      </w:r>
    </w:p>
    <w:p w14:paraId="75CB7295" w14:textId="77777777" w:rsidR="0002567F" w:rsidRPr="00DA0649" w:rsidRDefault="0002567F" w:rsidP="0002567F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6AAA3A3C" w14:textId="22A6E562" w:rsidR="004C44BC" w:rsidRPr="00DA0649" w:rsidRDefault="004C44BC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i/>
          <w:iCs/>
          <w:sz w:val="20"/>
          <w:szCs w:val="20"/>
        </w:rPr>
        <w:t xml:space="preserve">„Situace na trhu se proměňuje. Zahraniční kapitál se zatím spíše rozhlíží, </w:t>
      </w:r>
      <w:r w:rsidR="00B248C2" w:rsidRPr="00DA0649">
        <w:rPr>
          <w:rFonts w:ascii="Aptos" w:hAnsi="Aptos"/>
          <w:i/>
          <w:iCs/>
          <w:sz w:val="20"/>
          <w:szCs w:val="20"/>
        </w:rPr>
        <w:t xml:space="preserve">vstup </w:t>
      </w:r>
      <w:r w:rsidRPr="00DA0649">
        <w:rPr>
          <w:rFonts w:ascii="Aptos" w:hAnsi="Aptos"/>
          <w:i/>
          <w:iCs/>
          <w:sz w:val="20"/>
          <w:szCs w:val="20"/>
        </w:rPr>
        <w:t>větší</w:t>
      </w:r>
      <w:r w:rsidR="00B248C2" w:rsidRPr="00DA0649">
        <w:rPr>
          <w:rFonts w:ascii="Aptos" w:hAnsi="Aptos"/>
          <w:i/>
          <w:iCs/>
          <w:sz w:val="20"/>
          <w:szCs w:val="20"/>
        </w:rPr>
        <w:t>ch</w:t>
      </w:r>
      <w:r w:rsidRPr="00DA0649">
        <w:rPr>
          <w:rFonts w:ascii="Aptos" w:hAnsi="Aptos"/>
          <w:i/>
          <w:iCs/>
          <w:sz w:val="20"/>
          <w:szCs w:val="20"/>
        </w:rPr>
        <w:t xml:space="preserve"> fond</w:t>
      </w:r>
      <w:r w:rsidR="00B248C2" w:rsidRPr="00DA0649">
        <w:rPr>
          <w:rFonts w:ascii="Aptos" w:hAnsi="Aptos"/>
          <w:i/>
          <w:iCs/>
          <w:sz w:val="20"/>
          <w:szCs w:val="20"/>
        </w:rPr>
        <w:t>ů</w:t>
      </w:r>
      <w:r w:rsidRPr="00DA0649">
        <w:rPr>
          <w:rFonts w:ascii="Aptos" w:hAnsi="Aptos"/>
          <w:i/>
          <w:iCs/>
          <w:sz w:val="20"/>
          <w:szCs w:val="20"/>
        </w:rPr>
        <w:t xml:space="preserve"> očekáváme </w:t>
      </w:r>
      <w:r w:rsidR="003C7FF9" w:rsidRPr="00DA0649">
        <w:rPr>
          <w:rFonts w:ascii="Aptos" w:hAnsi="Aptos"/>
          <w:i/>
          <w:iCs/>
          <w:sz w:val="20"/>
          <w:szCs w:val="20"/>
        </w:rPr>
        <w:t>v horizontu</w:t>
      </w:r>
      <w:r w:rsidRPr="00DA0649">
        <w:rPr>
          <w:rFonts w:ascii="Aptos" w:hAnsi="Aptos"/>
          <w:i/>
          <w:iCs/>
          <w:sz w:val="20"/>
          <w:szCs w:val="20"/>
        </w:rPr>
        <w:t xml:space="preserve"> dvou až tří let. Český kapitál je ale aktivní a připraven investovat, často však míří do zahraničí – u nás </w:t>
      </w:r>
      <w:r w:rsidR="00164804" w:rsidRPr="00DA0649">
        <w:rPr>
          <w:rFonts w:ascii="Aptos" w:hAnsi="Aptos"/>
          <w:i/>
          <w:iCs/>
          <w:sz w:val="20"/>
          <w:szCs w:val="20"/>
        </w:rPr>
        <w:t xml:space="preserve">zatím </w:t>
      </w:r>
      <w:r w:rsidRPr="00DA0649">
        <w:rPr>
          <w:rFonts w:ascii="Aptos" w:hAnsi="Aptos"/>
          <w:i/>
          <w:iCs/>
          <w:sz w:val="20"/>
          <w:szCs w:val="20"/>
        </w:rPr>
        <w:t>chybí dostatek vhodných projektů, které by tento potenciál absorbovaly,“</w:t>
      </w:r>
      <w:r w:rsidRPr="00DA0649">
        <w:rPr>
          <w:rFonts w:ascii="Aptos" w:hAnsi="Aptos"/>
          <w:sz w:val="20"/>
          <w:szCs w:val="20"/>
        </w:rPr>
        <w:t xml:space="preserve"> říká Zuzana Chudoba, výkonná ředitelka a zakladatelka BTR Consulting.</w:t>
      </w:r>
    </w:p>
    <w:p w14:paraId="70CF0AF5" w14:textId="77777777" w:rsidR="006271B8" w:rsidRPr="00DA0649" w:rsidRDefault="006271B8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3E64CD44" w14:textId="18F7B74A" w:rsidR="006271B8" w:rsidRPr="00DA0649" w:rsidRDefault="004C44BC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Trend potvrzují i aktuální data: v lednu 2024 se zásadně změnil směr toku kapitálu. Investoři opustili peněžní fondy a přesunuli se do otevřených realitních fondů, které dnes disponují dostatkem ekvity. Hlavní překážkou tak není financování, ale nedostatek realizovatelných projektů – což zvyšuje tlak na akceleraci nové výstavby.</w:t>
      </w:r>
    </w:p>
    <w:p w14:paraId="37D3B02E" w14:textId="77777777" w:rsidR="006271B8" w:rsidRPr="00DA0649" w:rsidRDefault="006271B8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223131E5" w14:textId="77777777" w:rsidR="004C44BC" w:rsidRPr="00DA0649" w:rsidRDefault="004C44BC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  <w:szCs w:val="20"/>
        </w:rPr>
      </w:pPr>
      <w:r w:rsidRPr="00DA0649">
        <w:rPr>
          <w:rFonts w:ascii="Aptos" w:hAnsi="Aptos"/>
          <w:b/>
          <w:bCs/>
          <w:sz w:val="20"/>
          <w:szCs w:val="20"/>
        </w:rPr>
        <w:t>Efektivita a typologie</w:t>
      </w:r>
    </w:p>
    <w:p w14:paraId="4C625782" w14:textId="77777777" w:rsidR="006271B8" w:rsidRPr="00DA0649" w:rsidRDefault="006271B8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2B49586E" w14:textId="7185CB4F" w:rsidR="00D12F09" w:rsidRPr="00DA0649" w:rsidRDefault="00D12F09" w:rsidP="00D12F09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Efektivní fungování BTR projektů vyžaduje mezioborovou spolupráci již od samého počátku. Ideální je, když jsou architekti, designéři i správci zapojeni už ve fázi záměru – díky tomu lze optimalizovat dispozice, materiály a technická řešení pro dlouhodobý provoz. V praxi však často vstupují designéři do projektu až ve finální fázi, což může vést k nákladným úpravám například rozvodů.</w:t>
      </w:r>
    </w:p>
    <w:p w14:paraId="37D22B7C" w14:textId="77777777" w:rsidR="00D12F09" w:rsidRPr="00DA0649" w:rsidRDefault="00D12F09" w:rsidP="00D12F09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14DAFE61" w14:textId="77777777" w:rsidR="00D12F09" w:rsidRPr="00DA0649" w:rsidRDefault="00D12F09" w:rsidP="00D12F09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 xml:space="preserve">Na tento přístup navazuje i měnící se vnímání nájemního bydlení jako celku. Už nejde jen o návrh a výstavbu, ale o zajištění dlouhodobé funkčnosti a kvalitní správy. </w:t>
      </w:r>
      <w:r w:rsidRPr="00DA0649">
        <w:rPr>
          <w:rFonts w:ascii="Aptos" w:hAnsi="Aptos"/>
          <w:i/>
          <w:iCs/>
          <w:sz w:val="20"/>
          <w:szCs w:val="20"/>
        </w:rPr>
        <w:t>„A právě v tom spočívá naše přidaná hodnota. BTR Consulting poskytuje komplexní služby v oblasti nájemního bydlení včetně profesionálního managementu nájemních domů, optimalizace výnosů a péče o nájemce,“</w:t>
      </w:r>
      <w:r w:rsidRPr="00DA0649">
        <w:rPr>
          <w:rFonts w:ascii="Aptos" w:hAnsi="Aptos"/>
          <w:sz w:val="20"/>
          <w:szCs w:val="20"/>
        </w:rPr>
        <w:t xml:space="preserve"> vysvětluje Tomáš Stařík, obchodní ředitel BTR Consulting.</w:t>
      </w:r>
    </w:p>
    <w:p w14:paraId="305D89E9" w14:textId="77777777" w:rsidR="00D12F09" w:rsidRPr="00DA0649" w:rsidRDefault="00D12F09" w:rsidP="00D12F09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0F806BBE" w14:textId="2424A505" w:rsidR="00D12F09" w:rsidRPr="00DA0649" w:rsidRDefault="00D12F09" w:rsidP="00D12F09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Praktickým dopadem optimalizace návrhu už ve fázi projektu je například přizpůsobení dispozic poptávce. Největší zájem je dnes o menší jednotky – 1+kk a 2+kk. Optimální průměrná velikost bytové jednotky v BTR projektu činí přibližně 40 m², což zvyšuje šanci na rychlé obsazení i stabilní výnos. „</w:t>
      </w:r>
      <w:r w:rsidRPr="00DA0649">
        <w:rPr>
          <w:rFonts w:ascii="Aptos" w:hAnsi="Aptos"/>
          <w:i/>
          <w:iCs/>
          <w:sz w:val="20"/>
          <w:szCs w:val="20"/>
        </w:rPr>
        <w:t>Díky optimalizaci projektů už ve fázi projektu se nám daří navyšovat očekávané výnosy v průměru o 12–18 %,“</w:t>
      </w:r>
      <w:r w:rsidRPr="00DA0649">
        <w:rPr>
          <w:rFonts w:ascii="Aptos" w:hAnsi="Aptos"/>
          <w:sz w:val="20"/>
          <w:szCs w:val="20"/>
        </w:rPr>
        <w:t xml:space="preserve"> dodává Stařík.</w:t>
      </w:r>
    </w:p>
    <w:p w14:paraId="4CB1FF10" w14:textId="77777777" w:rsidR="00D12F09" w:rsidRPr="00DA0649" w:rsidRDefault="00D12F09" w:rsidP="00D12F09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4FDEFDDD" w14:textId="6392D4A3" w:rsidR="006271B8" w:rsidRPr="00DA0649" w:rsidRDefault="00D12F09" w:rsidP="00D12F09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 xml:space="preserve">Vedle novostaveb se prosazují i alternativní cesty rozvoje. Zajímavým trendem jsou konverze starších nebytových prostor. </w:t>
      </w:r>
      <w:r w:rsidRPr="00DA0649">
        <w:rPr>
          <w:rFonts w:ascii="Aptos" w:hAnsi="Aptos"/>
          <w:i/>
          <w:iCs/>
          <w:sz w:val="20"/>
          <w:szCs w:val="20"/>
        </w:rPr>
        <w:t>„Zejména v Praze roste význam přestavby kanceláří a hotelů na nájemní byty. Tyto projekty už tvoří 6 % BTR trhu a jejich výhodou je i jednodušší povolovací proces,“</w:t>
      </w:r>
      <w:r w:rsidRPr="00DA0649">
        <w:rPr>
          <w:rFonts w:ascii="Aptos" w:hAnsi="Aptos"/>
          <w:sz w:val="20"/>
          <w:szCs w:val="20"/>
        </w:rPr>
        <w:t xml:space="preserve"> doplňuje Stařík.</w:t>
      </w:r>
    </w:p>
    <w:p w14:paraId="68F948B5" w14:textId="77777777" w:rsidR="006271B8" w:rsidRPr="00DA0649" w:rsidRDefault="006271B8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2FA07EA1" w14:textId="77777777" w:rsidR="004C44BC" w:rsidRPr="00DA0649" w:rsidRDefault="004C44BC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  <w:szCs w:val="20"/>
        </w:rPr>
      </w:pPr>
      <w:r w:rsidRPr="00DA0649">
        <w:rPr>
          <w:rFonts w:ascii="Aptos" w:hAnsi="Aptos"/>
          <w:b/>
          <w:bCs/>
          <w:sz w:val="20"/>
          <w:szCs w:val="20"/>
        </w:rPr>
        <w:t>Nová kritéria výběru bytu</w:t>
      </w:r>
    </w:p>
    <w:p w14:paraId="17AE3CCE" w14:textId="77777777" w:rsidR="006271B8" w:rsidRPr="00DA0649" w:rsidRDefault="006271B8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3B26BD7B" w14:textId="30A08CD3" w:rsidR="004C44BC" w:rsidRPr="00DA0649" w:rsidRDefault="004C44BC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Během konference se diskutovalo i o kritériích výběru</w:t>
      </w:r>
      <w:r w:rsidR="00B248C2" w:rsidRPr="00DA0649">
        <w:rPr>
          <w:rFonts w:ascii="Aptos" w:hAnsi="Aptos"/>
          <w:sz w:val="20"/>
          <w:szCs w:val="20"/>
        </w:rPr>
        <w:t xml:space="preserve"> bytů a</w:t>
      </w:r>
      <w:r w:rsidRPr="00DA0649">
        <w:rPr>
          <w:rFonts w:ascii="Aptos" w:hAnsi="Aptos"/>
          <w:sz w:val="20"/>
          <w:szCs w:val="20"/>
        </w:rPr>
        <w:t xml:space="preserve"> lokalit. Přestože se mnoho BTR projektů soustředí v blízkosti metra, ukazuje se, že pro nájemníky je čím dál důležitější celková kvalita prostředí – veřejný prostor, služby i komunitní zázemí. Role pronajímatele se stále více podobá hotelovému operátorovi – cílem je nabídnout komplexní zážitek, nikoli jen místo k přespání.</w:t>
      </w:r>
    </w:p>
    <w:p w14:paraId="708C6AE7" w14:textId="77777777" w:rsidR="006271B8" w:rsidRPr="00DA0649" w:rsidRDefault="006271B8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583FED1A" w14:textId="48833695" w:rsidR="004C44BC" w:rsidRPr="00DA0649" w:rsidRDefault="005F6245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bookmarkStart w:id="0" w:name="OLE_LINK1"/>
      <w:r w:rsidRPr="00DA0649">
        <w:rPr>
          <w:rFonts w:ascii="Aptos" w:hAnsi="Aptos"/>
          <w:sz w:val="20"/>
          <w:szCs w:val="20"/>
        </w:rPr>
        <w:t>V BTR segment</w:t>
      </w:r>
      <w:r w:rsidR="00F3600D" w:rsidRPr="00DA0649">
        <w:rPr>
          <w:rFonts w:ascii="Aptos" w:hAnsi="Aptos"/>
          <w:sz w:val="20"/>
          <w:szCs w:val="20"/>
        </w:rPr>
        <w:t>u</w:t>
      </w:r>
      <w:r w:rsidRPr="00DA0649">
        <w:rPr>
          <w:rFonts w:ascii="Aptos" w:hAnsi="Aptos"/>
          <w:sz w:val="20"/>
          <w:szCs w:val="20"/>
        </w:rPr>
        <w:t xml:space="preserve"> je </w:t>
      </w:r>
      <w:r w:rsidR="00F3600D" w:rsidRPr="00DA0649">
        <w:rPr>
          <w:rFonts w:ascii="Aptos" w:hAnsi="Aptos"/>
          <w:sz w:val="20"/>
          <w:szCs w:val="20"/>
        </w:rPr>
        <w:t>rovněž</w:t>
      </w:r>
      <w:r w:rsidR="004C44BC" w:rsidRPr="00DA0649">
        <w:rPr>
          <w:rFonts w:ascii="Aptos" w:hAnsi="Aptos"/>
          <w:sz w:val="20"/>
          <w:szCs w:val="20"/>
        </w:rPr>
        <w:t xml:space="preserve"> zásadní</w:t>
      </w:r>
      <w:r w:rsidRPr="00DA0649">
        <w:rPr>
          <w:rFonts w:ascii="Aptos" w:hAnsi="Aptos"/>
          <w:sz w:val="20"/>
          <w:szCs w:val="20"/>
        </w:rPr>
        <w:t xml:space="preserve"> standardizace a výběr </w:t>
      </w:r>
      <w:r w:rsidR="00F3600D" w:rsidRPr="00DA0649">
        <w:rPr>
          <w:rFonts w:ascii="Aptos" w:hAnsi="Aptos"/>
          <w:sz w:val="20"/>
          <w:szCs w:val="20"/>
        </w:rPr>
        <w:t>vhodných</w:t>
      </w:r>
      <w:r w:rsidRPr="00DA0649">
        <w:rPr>
          <w:rFonts w:ascii="Aptos" w:hAnsi="Aptos"/>
          <w:sz w:val="20"/>
          <w:szCs w:val="20"/>
        </w:rPr>
        <w:t xml:space="preserve"> materiálů.</w:t>
      </w:r>
      <w:r w:rsidR="004C44BC" w:rsidRPr="00DA0649">
        <w:rPr>
          <w:rFonts w:ascii="Aptos" w:hAnsi="Aptos"/>
          <w:i/>
          <w:sz w:val="20"/>
        </w:rPr>
        <w:t xml:space="preserve"> „Každý detail – od </w:t>
      </w:r>
      <w:r w:rsidRPr="00DA0649">
        <w:rPr>
          <w:rFonts w:ascii="Aptos" w:hAnsi="Aptos"/>
          <w:i/>
          <w:iCs/>
          <w:sz w:val="20"/>
          <w:szCs w:val="20"/>
        </w:rPr>
        <w:t>rozvržení kuchyně</w:t>
      </w:r>
      <w:r w:rsidR="004C44BC" w:rsidRPr="00DA0649">
        <w:rPr>
          <w:rFonts w:ascii="Aptos" w:hAnsi="Aptos"/>
          <w:i/>
          <w:sz w:val="20"/>
        </w:rPr>
        <w:t xml:space="preserve"> po </w:t>
      </w:r>
      <w:r w:rsidRPr="00DA0649">
        <w:rPr>
          <w:rFonts w:ascii="Aptos" w:hAnsi="Aptos"/>
          <w:i/>
          <w:iCs/>
          <w:sz w:val="20"/>
          <w:szCs w:val="20"/>
        </w:rPr>
        <w:t xml:space="preserve">použité </w:t>
      </w:r>
      <w:r w:rsidR="004C44BC" w:rsidRPr="00DA0649">
        <w:rPr>
          <w:rFonts w:ascii="Aptos" w:hAnsi="Aptos"/>
          <w:i/>
          <w:sz w:val="20"/>
        </w:rPr>
        <w:t xml:space="preserve">povrchy – musí </w:t>
      </w:r>
      <w:r w:rsidRPr="00DA0649">
        <w:rPr>
          <w:rFonts w:ascii="Aptos" w:hAnsi="Aptos"/>
          <w:i/>
          <w:iCs/>
          <w:sz w:val="20"/>
          <w:szCs w:val="20"/>
        </w:rPr>
        <w:t>zvládnout</w:t>
      </w:r>
      <w:r w:rsidR="004C44BC" w:rsidRPr="00DA0649">
        <w:rPr>
          <w:rFonts w:ascii="Aptos" w:hAnsi="Aptos"/>
          <w:i/>
          <w:sz w:val="20"/>
        </w:rPr>
        <w:t xml:space="preserve"> dlouhodobé používání. Design musí být funkční, odolný, </w:t>
      </w:r>
      <w:r w:rsidR="004C44BC" w:rsidRPr="00DA0649">
        <w:rPr>
          <w:rFonts w:ascii="Aptos" w:hAnsi="Aptos"/>
          <w:i/>
          <w:sz w:val="20"/>
        </w:rPr>
        <w:lastRenderedPageBreak/>
        <w:t xml:space="preserve">snadno udržovatelný a </w:t>
      </w:r>
      <w:r w:rsidR="00496CE3" w:rsidRPr="00DA0649">
        <w:rPr>
          <w:rFonts w:ascii="Aptos" w:hAnsi="Aptos"/>
          <w:i/>
          <w:iCs/>
          <w:sz w:val="20"/>
          <w:szCs w:val="20"/>
        </w:rPr>
        <w:t>přitom poutavý</w:t>
      </w:r>
      <w:r w:rsidR="004C44BC" w:rsidRPr="00DA0649">
        <w:rPr>
          <w:rFonts w:ascii="Aptos" w:hAnsi="Aptos"/>
          <w:i/>
          <w:sz w:val="20"/>
        </w:rPr>
        <w:t xml:space="preserve"> a nadčasový,“</w:t>
      </w:r>
      <w:r w:rsidR="004C44BC" w:rsidRPr="00DA0649">
        <w:rPr>
          <w:rFonts w:ascii="Aptos" w:hAnsi="Aptos"/>
          <w:sz w:val="20"/>
          <w:szCs w:val="20"/>
        </w:rPr>
        <w:t xml:space="preserve"> říká Andrea Hylmarová, interiérová designérka BTR Consulting.</w:t>
      </w:r>
    </w:p>
    <w:p w14:paraId="2A5062A6" w14:textId="77777777" w:rsidR="006271B8" w:rsidRPr="00DA0649" w:rsidRDefault="006271B8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2777DAFC" w14:textId="678AA198" w:rsidR="004C44BC" w:rsidRPr="00DA0649" w:rsidRDefault="004C44BC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 xml:space="preserve">Moderní projekty zahrnují chytré technologie – od aplikací pro správu bydlení, přes automatizované řízení energií, bezkontaktní vstup a evidenci návštěv </w:t>
      </w:r>
      <w:r w:rsidR="002564E3" w:rsidRPr="00DA0649">
        <w:rPr>
          <w:rFonts w:ascii="Aptos" w:hAnsi="Aptos"/>
          <w:sz w:val="20"/>
          <w:szCs w:val="20"/>
        </w:rPr>
        <w:t>přes QR kód</w:t>
      </w:r>
      <w:r w:rsidR="00B127AE" w:rsidRPr="00DA0649">
        <w:rPr>
          <w:rFonts w:ascii="Aptos" w:hAnsi="Aptos"/>
          <w:sz w:val="20"/>
          <w:szCs w:val="20"/>
        </w:rPr>
        <w:t xml:space="preserve">, </w:t>
      </w:r>
      <w:r w:rsidRPr="00DA0649">
        <w:rPr>
          <w:rFonts w:ascii="Aptos" w:hAnsi="Aptos"/>
          <w:sz w:val="20"/>
          <w:szCs w:val="20"/>
        </w:rPr>
        <w:t>až po inteligentní poštovní boxy nebo digitální vyúčtování energií. Tyto prvky zvyšují komfort i efektivitu provozu.</w:t>
      </w:r>
    </w:p>
    <w:bookmarkEnd w:id="0"/>
    <w:p w14:paraId="3FEB4BD9" w14:textId="77777777" w:rsidR="006271B8" w:rsidRPr="00DA0649" w:rsidRDefault="006271B8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3C18B589" w14:textId="77777777" w:rsidR="004C44BC" w:rsidRPr="00DA0649" w:rsidRDefault="004C44BC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  <w:szCs w:val="20"/>
        </w:rPr>
      </w:pPr>
      <w:r w:rsidRPr="00DA0649">
        <w:rPr>
          <w:rFonts w:ascii="Aptos" w:hAnsi="Aptos"/>
          <w:b/>
          <w:bCs/>
          <w:sz w:val="20"/>
          <w:szCs w:val="20"/>
        </w:rPr>
        <w:t>Mezinárodní inspirace</w:t>
      </w:r>
    </w:p>
    <w:p w14:paraId="1125C77F" w14:textId="77777777" w:rsidR="006271B8" w:rsidRPr="00DA0649" w:rsidRDefault="006271B8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1AF92742" w14:textId="71A26376" w:rsidR="004C44BC" w:rsidRPr="00DA0649" w:rsidRDefault="005F6245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i/>
          <w:iCs/>
          <w:sz w:val="20"/>
        </w:rPr>
      </w:pPr>
      <w:r w:rsidRPr="00DA0649">
        <w:rPr>
          <w:rFonts w:ascii="Aptos" w:hAnsi="Aptos"/>
          <w:sz w:val="20"/>
          <w:szCs w:val="20"/>
        </w:rPr>
        <w:t>Zkušenosti z britského trhu nabídla</w:t>
      </w:r>
      <w:r w:rsidR="004C44BC" w:rsidRPr="00DA0649">
        <w:rPr>
          <w:rFonts w:ascii="Aptos" w:hAnsi="Aptos"/>
          <w:sz w:val="20"/>
          <w:szCs w:val="20"/>
        </w:rPr>
        <w:t xml:space="preserve"> Debra Yudolph, zakladatelka a výkonná ředitelka SAY Property, londýnského partnera BTR Consulting: </w:t>
      </w:r>
      <w:r w:rsidR="004C44BC" w:rsidRPr="00DA0649">
        <w:rPr>
          <w:rFonts w:ascii="Aptos" w:hAnsi="Aptos"/>
          <w:sz w:val="20"/>
        </w:rPr>
        <w:t>„</w:t>
      </w:r>
      <w:r w:rsidR="004C44BC" w:rsidRPr="00DA0649">
        <w:rPr>
          <w:rFonts w:ascii="Aptos" w:hAnsi="Aptos"/>
          <w:i/>
          <w:iCs/>
          <w:sz w:val="20"/>
        </w:rPr>
        <w:t xml:space="preserve">Rok 2024 byl pro britský BTR trh přelomový – investice poprvé překročily 5 miliard liber. </w:t>
      </w:r>
      <w:r w:rsidR="004C44BC" w:rsidRPr="00DA0649">
        <w:rPr>
          <w:rFonts w:ascii="Aptos" w:hAnsi="Aptos"/>
          <w:i/>
          <w:iCs/>
          <w:sz w:val="20"/>
          <w:szCs w:val="20"/>
        </w:rPr>
        <w:t xml:space="preserve">Současně však </w:t>
      </w:r>
      <w:r w:rsidR="004C44BC" w:rsidRPr="00DA0649">
        <w:rPr>
          <w:rFonts w:ascii="Aptos" w:hAnsi="Aptos"/>
          <w:i/>
          <w:iCs/>
          <w:sz w:val="20"/>
        </w:rPr>
        <w:t xml:space="preserve">objem </w:t>
      </w:r>
      <w:r w:rsidR="004C44BC" w:rsidRPr="00DA0649">
        <w:rPr>
          <w:rFonts w:ascii="Aptos" w:hAnsi="Aptos"/>
          <w:i/>
          <w:iCs/>
          <w:sz w:val="20"/>
          <w:szCs w:val="20"/>
        </w:rPr>
        <w:t>nových</w:t>
      </w:r>
      <w:r w:rsidR="004C44BC" w:rsidRPr="00DA0649">
        <w:rPr>
          <w:rFonts w:ascii="Aptos" w:hAnsi="Aptos"/>
          <w:i/>
          <w:iCs/>
          <w:sz w:val="20"/>
        </w:rPr>
        <w:t xml:space="preserve"> projektů klesl o 20 %, v Londýně jsme zaznamenali nejnižší čísla od roku 2014.“</w:t>
      </w:r>
      <w:r w:rsidR="004C44BC" w:rsidRPr="00DA0649">
        <w:rPr>
          <w:rFonts w:ascii="Aptos" w:hAnsi="Aptos"/>
          <w:sz w:val="20"/>
        </w:rPr>
        <w:t xml:space="preserve"> </w:t>
      </w:r>
      <w:r w:rsidR="004C44BC" w:rsidRPr="00DA0649">
        <w:rPr>
          <w:rFonts w:ascii="Aptos" w:hAnsi="Aptos"/>
          <w:sz w:val="20"/>
          <w:szCs w:val="20"/>
        </w:rPr>
        <w:t xml:space="preserve">Přesto zůstává optimistická: </w:t>
      </w:r>
      <w:r w:rsidR="004C44BC" w:rsidRPr="00DA0649">
        <w:rPr>
          <w:rFonts w:ascii="Aptos" w:hAnsi="Aptos"/>
          <w:i/>
          <w:iCs/>
          <w:sz w:val="20"/>
          <w:szCs w:val="20"/>
        </w:rPr>
        <w:t>„</w:t>
      </w:r>
      <w:r w:rsidR="004C44BC" w:rsidRPr="00DA0649">
        <w:rPr>
          <w:rFonts w:ascii="Aptos" w:hAnsi="Aptos"/>
          <w:i/>
          <w:iCs/>
          <w:sz w:val="20"/>
        </w:rPr>
        <w:t xml:space="preserve">Stabilizace cen </w:t>
      </w:r>
      <w:r w:rsidR="004C44BC" w:rsidRPr="00DA0649">
        <w:rPr>
          <w:rFonts w:ascii="Aptos" w:hAnsi="Aptos"/>
          <w:i/>
          <w:iCs/>
          <w:sz w:val="20"/>
          <w:szCs w:val="20"/>
        </w:rPr>
        <w:t xml:space="preserve">práce a </w:t>
      </w:r>
      <w:r w:rsidR="004C44BC" w:rsidRPr="00DA0649">
        <w:rPr>
          <w:rFonts w:ascii="Aptos" w:hAnsi="Aptos"/>
          <w:i/>
          <w:iCs/>
          <w:sz w:val="20"/>
        </w:rPr>
        <w:t xml:space="preserve">materiálů </w:t>
      </w:r>
      <w:r w:rsidR="004C44BC" w:rsidRPr="00DA0649">
        <w:rPr>
          <w:rFonts w:ascii="Aptos" w:hAnsi="Aptos"/>
          <w:i/>
          <w:iCs/>
          <w:sz w:val="20"/>
          <w:szCs w:val="20"/>
        </w:rPr>
        <w:t>by mohla oživit</w:t>
      </w:r>
      <w:r w:rsidR="004C44BC" w:rsidRPr="00DA0649">
        <w:rPr>
          <w:rFonts w:ascii="Aptos" w:hAnsi="Aptos"/>
          <w:i/>
          <w:iCs/>
          <w:sz w:val="20"/>
        </w:rPr>
        <w:t xml:space="preserve"> životaschopnost mnoha projektů a </w:t>
      </w:r>
      <w:r w:rsidR="004C44BC" w:rsidRPr="00DA0649">
        <w:rPr>
          <w:rFonts w:ascii="Aptos" w:hAnsi="Aptos"/>
          <w:i/>
          <w:iCs/>
          <w:sz w:val="20"/>
          <w:szCs w:val="20"/>
        </w:rPr>
        <w:t>přinést</w:t>
      </w:r>
      <w:r w:rsidR="004C44BC" w:rsidRPr="00DA0649">
        <w:rPr>
          <w:rFonts w:ascii="Aptos" w:hAnsi="Aptos"/>
          <w:i/>
          <w:iCs/>
          <w:sz w:val="20"/>
        </w:rPr>
        <w:t xml:space="preserve"> další investiční vlnu – </w:t>
      </w:r>
      <w:r w:rsidR="004C44BC" w:rsidRPr="00DA0649">
        <w:rPr>
          <w:rFonts w:ascii="Aptos" w:hAnsi="Aptos"/>
          <w:i/>
          <w:iCs/>
          <w:sz w:val="20"/>
          <w:szCs w:val="20"/>
        </w:rPr>
        <w:t>zejména</w:t>
      </w:r>
      <w:r w:rsidR="004C44BC" w:rsidRPr="00DA0649">
        <w:rPr>
          <w:rFonts w:ascii="Aptos" w:hAnsi="Aptos"/>
          <w:i/>
          <w:iCs/>
          <w:sz w:val="20"/>
        </w:rPr>
        <w:t xml:space="preserve"> ve větších městech.“</w:t>
      </w:r>
    </w:p>
    <w:p w14:paraId="00745607" w14:textId="77777777" w:rsidR="006271B8" w:rsidRPr="00DA0649" w:rsidRDefault="006271B8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i/>
          <w:iCs/>
          <w:sz w:val="20"/>
        </w:rPr>
      </w:pPr>
    </w:p>
    <w:p w14:paraId="6363C453" w14:textId="354A861D" w:rsidR="004C44BC" w:rsidRPr="00DA0649" w:rsidRDefault="004C44BC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 xml:space="preserve">Proměňuje se i skladba cílové skupiny – ubývá </w:t>
      </w:r>
      <w:r w:rsidR="008A65CE" w:rsidRPr="00DA0649">
        <w:rPr>
          <w:rFonts w:ascii="Aptos" w:hAnsi="Aptos"/>
          <w:sz w:val="20"/>
          <w:szCs w:val="20"/>
        </w:rPr>
        <w:t xml:space="preserve">movitých </w:t>
      </w:r>
      <w:r w:rsidRPr="00DA0649">
        <w:rPr>
          <w:rFonts w:ascii="Aptos" w:hAnsi="Aptos"/>
          <w:sz w:val="20"/>
          <w:szCs w:val="20"/>
        </w:rPr>
        <w:t>zahraničních studentů, přibývá zájemců ze střední třídy. Byty jsou vybaveny spíše úsporně, roste však poptávka po sdílených prostorách, jako jsou fitness, společenské místnosti či coworking.</w:t>
      </w:r>
      <w:r w:rsidR="008A65CE" w:rsidRPr="00DA0649">
        <w:rPr>
          <w:rFonts w:ascii="Aptos" w:hAnsi="Aptos"/>
          <w:sz w:val="20"/>
          <w:szCs w:val="20"/>
        </w:rPr>
        <w:t xml:space="preserve"> Ačkoliv je britský BTR trh přibližně o deset let napřed, podle Yudolph bude vývoj v České republice díky sdílení zkušeností mnohem rychlejší.</w:t>
      </w:r>
    </w:p>
    <w:p w14:paraId="63254EB2" w14:textId="77777777" w:rsidR="006271B8" w:rsidRPr="00DA0649" w:rsidRDefault="006271B8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23243538" w14:textId="14BB9408" w:rsidR="004C44BC" w:rsidRPr="00DA0649" w:rsidRDefault="004C44BC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 xml:space="preserve">SAY Property a BTR Consulting </w:t>
      </w:r>
      <w:r w:rsidR="00B248C2" w:rsidRPr="00DA0649">
        <w:rPr>
          <w:rFonts w:ascii="Aptos" w:hAnsi="Aptos"/>
          <w:sz w:val="20"/>
          <w:szCs w:val="20"/>
        </w:rPr>
        <w:t xml:space="preserve">rovněž </w:t>
      </w:r>
      <w:r w:rsidRPr="00DA0649">
        <w:rPr>
          <w:rFonts w:ascii="Aptos" w:hAnsi="Aptos"/>
          <w:sz w:val="20"/>
          <w:szCs w:val="20"/>
        </w:rPr>
        <w:t>plánují úzkou spolupráci při zavádění mystery shoppingu do oblasti nájemního bydlení. Tento nástroj, známý z retailu a hotelnictví, se ukazuje jako velmi efektivní pro testování a zlepšování služeb v rezidenčním sektoru. Cílem je systematicky sledovat kvalitu klientského servisu a provozu a tím dále zvyšovat profesionalitu celého oboru.</w:t>
      </w:r>
      <w:r w:rsidR="008A65CE" w:rsidRPr="00DA0649">
        <w:rPr>
          <w:rFonts w:ascii="Aptos" w:hAnsi="Aptos"/>
          <w:sz w:val="20"/>
          <w:szCs w:val="20"/>
        </w:rPr>
        <w:t xml:space="preserve"> </w:t>
      </w:r>
      <w:r w:rsidRPr="00DA0649">
        <w:rPr>
          <w:rFonts w:ascii="Aptos" w:hAnsi="Aptos"/>
          <w:sz w:val="20"/>
          <w:szCs w:val="20"/>
        </w:rPr>
        <w:t>„</w:t>
      </w:r>
      <w:r w:rsidR="008A65CE" w:rsidRPr="00DA0649">
        <w:rPr>
          <w:rFonts w:ascii="Aptos" w:hAnsi="Aptos"/>
          <w:i/>
          <w:iCs/>
          <w:sz w:val="20"/>
          <w:szCs w:val="20"/>
        </w:rPr>
        <w:t>P</w:t>
      </w:r>
      <w:r w:rsidRPr="00DA0649">
        <w:rPr>
          <w:rFonts w:ascii="Aptos" w:hAnsi="Aptos"/>
          <w:i/>
          <w:iCs/>
          <w:sz w:val="20"/>
          <w:szCs w:val="20"/>
        </w:rPr>
        <w:t>rofesionálně pojatý mystery shopping se stává důležitým nástrojem jak pro investory, tak správce při zvyšování kvality nájemního bydlení. SAY Property má s tímto přístupem dlouholeté zkušenosti a propracovaný systém, který budeme – jako jediní na českém trhu – adaptovat na místní prostředí,“</w:t>
      </w:r>
      <w:r w:rsidRPr="00DA0649">
        <w:rPr>
          <w:rFonts w:ascii="Aptos" w:hAnsi="Aptos"/>
          <w:sz w:val="20"/>
          <w:szCs w:val="20"/>
        </w:rPr>
        <w:t xml:space="preserve"> říká Zuzana Chudoba.</w:t>
      </w:r>
    </w:p>
    <w:p w14:paraId="364BDD6B" w14:textId="77777777" w:rsidR="006271B8" w:rsidRPr="00DA0649" w:rsidRDefault="006271B8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3F1A7CEF" w14:textId="77777777" w:rsidR="004C44BC" w:rsidRPr="00DA0649" w:rsidRDefault="004C44BC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  <w:szCs w:val="20"/>
        </w:rPr>
      </w:pPr>
      <w:r w:rsidRPr="00DA0649">
        <w:rPr>
          <w:rFonts w:ascii="Aptos" w:hAnsi="Aptos"/>
          <w:b/>
          <w:bCs/>
          <w:sz w:val="20"/>
          <w:szCs w:val="20"/>
        </w:rPr>
        <w:t>Místo pro dialog a sdílení</w:t>
      </w:r>
    </w:p>
    <w:p w14:paraId="429E714D" w14:textId="77777777" w:rsidR="006271B8" w:rsidRPr="00DA0649" w:rsidRDefault="006271B8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7675C980" w14:textId="2738F926" w:rsidR="00F3600D" w:rsidRDefault="00E6653C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E6653C">
        <w:rPr>
          <w:rFonts w:ascii="Aptos" w:hAnsi="Aptos"/>
          <w:sz w:val="20"/>
          <w:szCs w:val="20"/>
        </w:rPr>
        <w:t xml:space="preserve">Festival se nesl v duchu otevřeného dialogu a sdílení know-how. </w:t>
      </w:r>
      <w:r w:rsidRPr="00E6653C">
        <w:rPr>
          <w:rFonts w:ascii="Aptos" w:hAnsi="Aptos"/>
          <w:i/>
          <w:iCs/>
          <w:sz w:val="20"/>
          <w:szCs w:val="20"/>
        </w:rPr>
        <w:t>„Vytvořili jsme prostor, kde mohli otevřeně debatovat investoři, architekti, správci i technologické firmy. Nájemní bydlení si zaslouží stejnou pozornost, jakou jsme za posledních dvacet let věnovali developmentu určenému k prodeji. Je třeba nejen edukovat veřejnost o jeho rostoucím významu, ale především systematicky vzdělávat manažery a zaměstnance působící v tomto dynamicky se rozvíjejícím oboru. Právě na rozvoj odborných kapacit a profesionalizaci celého segmentu se v Real Estate Academy zaměřujeme,“</w:t>
      </w:r>
      <w:r w:rsidRPr="00E6653C">
        <w:rPr>
          <w:rFonts w:ascii="Aptos" w:hAnsi="Aptos"/>
          <w:sz w:val="20"/>
          <w:szCs w:val="20"/>
        </w:rPr>
        <w:t xml:space="preserve"> uzavírá Michaela Pfeiferová, zakladatelka a výkonná ředitelka Real Estate Academy, která akci s BTR Consulting spolupořádala.</w:t>
      </w:r>
    </w:p>
    <w:p w14:paraId="5270DE7E" w14:textId="77777777" w:rsidR="00E6653C" w:rsidRDefault="00E6653C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057F91D0" w14:textId="77777777" w:rsidR="00E6653C" w:rsidRPr="00DA0649" w:rsidRDefault="00E6653C" w:rsidP="00B127AE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354B897B" w14:textId="2E6DE418" w:rsidR="00F3600D" w:rsidRPr="00DA0649" w:rsidRDefault="00DB0B9F" w:rsidP="00F3600D">
      <w:pPr>
        <w:spacing w:before="0" w:after="0" w:line="240" w:lineRule="auto"/>
        <w:jc w:val="both"/>
        <w:rPr>
          <w:rFonts w:ascii="Aptos" w:hAnsi="Aptos"/>
          <w:b/>
          <w:bCs/>
          <w:sz w:val="24"/>
          <w:szCs w:val="24"/>
        </w:rPr>
      </w:pPr>
      <w:r w:rsidRPr="00DA0649">
        <w:rPr>
          <w:rFonts w:ascii="Aptos" w:hAnsi="Aptos"/>
          <w:b/>
          <w:bCs/>
          <w:sz w:val="24"/>
          <w:szCs w:val="24"/>
        </w:rPr>
        <w:t xml:space="preserve">Na Festivalu </w:t>
      </w:r>
      <w:r w:rsidR="00F3600D" w:rsidRPr="00DA0649">
        <w:rPr>
          <w:rFonts w:ascii="Aptos" w:hAnsi="Aptos"/>
          <w:b/>
          <w:bCs/>
          <w:sz w:val="24"/>
          <w:szCs w:val="24"/>
        </w:rPr>
        <w:t xml:space="preserve">(nejen) nájemního bydlení </w:t>
      </w:r>
      <w:r w:rsidRPr="00DA0649">
        <w:rPr>
          <w:rFonts w:ascii="Aptos" w:hAnsi="Aptos"/>
          <w:b/>
          <w:bCs/>
          <w:sz w:val="24"/>
          <w:szCs w:val="24"/>
        </w:rPr>
        <w:t>vystoupil</w:t>
      </w:r>
      <w:r w:rsidR="00800431" w:rsidRPr="00DA0649">
        <w:rPr>
          <w:rFonts w:ascii="Aptos" w:hAnsi="Aptos"/>
          <w:b/>
          <w:bCs/>
          <w:sz w:val="24"/>
          <w:szCs w:val="24"/>
        </w:rPr>
        <w:t>i</w:t>
      </w:r>
      <w:r w:rsidR="00F3600D" w:rsidRPr="00DA0649">
        <w:rPr>
          <w:rFonts w:ascii="Aptos" w:hAnsi="Aptos"/>
          <w:b/>
          <w:bCs/>
          <w:sz w:val="24"/>
          <w:szCs w:val="24"/>
        </w:rPr>
        <w:t>:</w:t>
      </w:r>
    </w:p>
    <w:p w14:paraId="2846E783" w14:textId="77777777" w:rsidR="006536B7" w:rsidRPr="00DA0649" w:rsidRDefault="006536B7" w:rsidP="006536B7">
      <w:pPr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15F2C336" w14:textId="2509EB1C" w:rsidR="006536B7" w:rsidRPr="00DA0649" w:rsidRDefault="006536B7" w:rsidP="006536B7">
      <w:pPr>
        <w:pStyle w:val="Odstavecseseznamem"/>
        <w:numPr>
          <w:ilvl w:val="0"/>
          <w:numId w:val="9"/>
        </w:numPr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Petr Bartoň (Natland) s tématem „Socio-ekonomické trendy a rostoucí význam nájemního bydlení“</w:t>
      </w:r>
    </w:p>
    <w:p w14:paraId="79834DB3" w14:textId="0CD88DDF" w:rsidR="006536B7" w:rsidRPr="00DA0649" w:rsidRDefault="006536B7" w:rsidP="006536B7">
      <w:pPr>
        <w:pStyle w:val="Odstavecseseznamem"/>
        <w:numPr>
          <w:ilvl w:val="0"/>
          <w:numId w:val="9"/>
        </w:numPr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Tomáš Stařík (BTR Consulting) a Vít Soural (Flatzone) s tématem „Living sektor reporty“</w:t>
      </w:r>
    </w:p>
    <w:p w14:paraId="3D48C197" w14:textId="5071F062" w:rsidR="006536B7" w:rsidRPr="00DA0649" w:rsidRDefault="006536B7" w:rsidP="006536B7">
      <w:pPr>
        <w:pStyle w:val="Odstavecseseznamem"/>
        <w:numPr>
          <w:ilvl w:val="0"/>
          <w:numId w:val="9"/>
        </w:numPr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Debra Yudolph (SAY Property) a Zuzana Chudoba (BTR Consulting) s tématem „Flexibilní bydlení: Nejnovější trendy a inovace v nájemním sektoru“</w:t>
      </w:r>
    </w:p>
    <w:p w14:paraId="75E3A1AB" w14:textId="40534714" w:rsidR="006536B7" w:rsidRPr="00DA0649" w:rsidRDefault="006536B7" w:rsidP="006536B7">
      <w:pPr>
        <w:pStyle w:val="Odstavecseseznamem"/>
        <w:numPr>
          <w:ilvl w:val="0"/>
          <w:numId w:val="9"/>
        </w:numPr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Michal Hink (DLA Piper), David Padyšák (DLA Piper), Štěpán Hrubý (ASB Group) a Jana Domanová (AFI Czech Republic and Germany) s tématem „Právní a daňové aspekty v nájemním sektoru“</w:t>
      </w:r>
    </w:p>
    <w:p w14:paraId="40D4D831" w14:textId="4FA8D9AD" w:rsidR="006536B7" w:rsidRPr="00DA0649" w:rsidRDefault="006536B7" w:rsidP="006536B7">
      <w:pPr>
        <w:pStyle w:val="Odstavecseseznamem"/>
        <w:numPr>
          <w:ilvl w:val="0"/>
          <w:numId w:val="9"/>
        </w:numPr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lastRenderedPageBreak/>
        <w:t>Michal Hink (DLA Piper), Ondřej Buršík (Metrostav Development), Erik Janovský (Mint) a Michal Soták (Cushman &amp; Wakefield) s tématem „Trh nájemních nemovitostí: Akvizice, prodeje, investice“</w:t>
      </w:r>
    </w:p>
    <w:p w14:paraId="0C68739A" w14:textId="7D1E8629" w:rsidR="006536B7" w:rsidRPr="00DA0649" w:rsidRDefault="006536B7" w:rsidP="006536B7">
      <w:pPr>
        <w:pStyle w:val="Odstavecseseznamem"/>
        <w:numPr>
          <w:ilvl w:val="0"/>
          <w:numId w:val="9"/>
        </w:numPr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Olga Kaizar (PwC), Rita Šafránková (Trinity Bank) a Leo Javorek (DLA Piper) s tématem „Financování a ESG strategie nájemního sektoru“</w:t>
      </w:r>
    </w:p>
    <w:p w14:paraId="6DD4BF4F" w14:textId="1F0D8219" w:rsidR="006536B7" w:rsidRPr="00DA0649" w:rsidRDefault="006536B7" w:rsidP="006536B7">
      <w:pPr>
        <w:pStyle w:val="Odstavecseseznamem"/>
        <w:numPr>
          <w:ilvl w:val="0"/>
          <w:numId w:val="9"/>
        </w:numPr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Lucie Loudová (UnlimitDB), Sharon Grob (Studio Moren), Marek Dongres (SPM Invest) a Jiří Řezák (Qarta Architects) s tématem „Adaptivní a smíšené využití budov: Nové možnosti pro nájemní bydlení“</w:t>
      </w:r>
    </w:p>
    <w:p w14:paraId="1D9659E3" w14:textId="4C5A27B9" w:rsidR="006536B7" w:rsidRPr="00DA0649" w:rsidRDefault="006536B7" w:rsidP="006536B7">
      <w:pPr>
        <w:pStyle w:val="Odstavecseseznamem"/>
        <w:numPr>
          <w:ilvl w:val="0"/>
          <w:numId w:val="9"/>
        </w:numPr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Andrea Hylmarová (BTR Consulting), Daniel Kowala (Elmax Store), Pavel Fanta (QA) a Martin Zamazal (eTruhlárna) s tématem „Vybavení a design BTR projektů: Od bytů po společné prostory“</w:t>
      </w:r>
    </w:p>
    <w:p w14:paraId="2D0C1D7D" w14:textId="7BE455CA" w:rsidR="006536B7" w:rsidRPr="00DA0649" w:rsidRDefault="006536B7" w:rsidP="006536B7">
      <w:pPr>
        <w:pStyle w:val="Odstavecseseznamem"/>
        <w:numPr>
          <w:ilvl w:val="0"/>
          <w:numId w:val="9"/>
        </w:numPr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Miro Hachlinec (BeiT), Richard Záruba (XPlace Services), Marek Čihák (M2C), Tomáš Cirmaciu (AED PROJECT), Bartoloměj Holubář (Blocks), Jiří Knap (IFMA), Hanh Bui Thuy (BeiT) a Martin Kopfstein (Salto Systems) s tématem „Chytrá správa nájemního bydlení: Digitalizace jako cesta k úsporám a efektivitě“</w:t>
      </w:r>
    </w:p>
    <w:p w14:paraId="4CB3C756" w14:textId="11E30784" w:rsidR="006536B7" w:rsidRPr="00DA0649" w:rsidRDefault="006536B7" w:rsidP="006536B7">
      <w:pPr>
        <w:pStyle w:val="Odstavecseseznamem"/>
        <w:numPr>
          <w:ilvl w:val="0"/>
          <w:numId w:val="9"/>
        </w:numPr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Tomáš Horák (Booking.com), Kamila Zittová (Booking.com), Vladimir Serebrennikov (Blueground) a Václav Hříbal (JAN Hospitality) s tématem „Hybridní modely propojující tradiční hotely a nájemní bydlení“</w:t>
      </w:r>
    </w:p>
    <w:p w14:paraId="7B750445" w14:textId="77777777" w:rsidR="006536B7" w:rsidRPr="00DA0649" w:rsidRDefault="006536B7" w:rsidP="006536B7">
      <w:pPr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33FF62FB" w14:textId="5C548298" w:rsidR="006536B7" w:rsidRPr="00DA0649" w:rsidRDefault="006536B7" w:rsidP="006536B7">
      <w:pPr>
        <w:spacing w:before="0" w:after="0" w:line="240" w:lineRule="auto"/>
        <w:jc w:val="both"/>
        <w:rPr>
          <w:rFonts w:ascii="Aptos" w:hAnsi="Aptos"/>
          <w:b/>
          <w:bCs/>
          <w:sz w:val="24"/>
          <w:szCs w:val="24"/>
        </w:rPr>
      </w:pPr>
      <w:r w:rsidRPr="00DA0649">
        <w:rPr>
          <w:rFonts w:ascii="Aptos" w:hAnsi="Aptos"/>
          <w:b/>
          <w:bCs/>
          <w:sz w:val="24"/>
          <w:szCs w:val="24"/>
        </w:rPr>
        <w:t>Prezentace úspěšných BTR projektů</w:t>
      </w:r>
    </w:p>
    <w:p w14:paraId="7C4DB7E6" w14:textId="77777777" w:rsidR="00637CD0" w:rsidRPr="00DA0649" w:rsidRDefault="00637CD0" w:rsidP="006536B7">
      <w:pPr>
        <w:spacing w:before="0" w:after="0" w:line="240" w:lineRule="auto"/>
        <w:jc w:val="both"/>
        <w:rPr>
          <w:rFonts w:ascii="Aptos" w:hAnsi="Aptos"/>
          <w:b/>
          <w:bCs/>
          <w:sz w:val="20"/>
          <w:szCs w:val="20"/>
        </w:rPr>
      </w:pPr>
    </w:p>
    <w:p w14:paraId="6784FC6A" w14:textId="1D9A87B2" w:rsidR="006536B7" w:rsidRPr="00DA0649" w:rsidRDefault="006536B7" w:rsidP="006536B7">
      <w:pPr>
        <w:pStyle w:val="Odstavecseseznamem"/>
        <w:numPr>
          <w:ilvl w:val="0"/>
          <w:numId w:val="10"/>
        </w:numPr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 xml:space="preserve">Elena Pisotchi (AFI Europe) s </w:t>
      </w:r>
      <w:r w:rsidR="001E29C4" w:rsidRPr="00DA0649">
        <w:rPr>
          <w:rFonts w:ascii="Aptos" w:hAnsi="Aptos"/>
          <w:sz w:val="20"/>
          <w:szCs w:val="20"/>
        </w:rPr>
        <w:t>projektem</w:t>
      </w:r>
      <w:r w:rsidRPr="00DA0649">
        <w:rPr>
          <w:rFonts w:ascii="Aptos" w:hAnsi="Aptos"/>
          <w:sz w:val="20"/>
          <w:szCs w:val="20"/>
        </w:rPr>
        <w:t xml:space="preserve"> „AFI Home Kolbenova“</w:t>
      </w:r>
    </w:p>
    <w:p w14:paraId="36B698A7" w14:textId="43DA7C88" w:rsidR="006536B7" w:rsidRPr="00DA0649" w:rsidRDefault="006536B7" w:rsidP="006536B7">
      <w:pPr>
        <w:pStyle w:val="Odstavecseseznamem"/>
        <w:numPr>
          <w:ilvl w:val="0"/>
          <w:numId w:val="10"/>
        </w:numPr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 xml:space="preserve">Rudolf Kraina (Trigema) s </w:t>
      </w:r>
      <w:r w:rsidR="001E29C4" w:rsidRPr="00DA0649">
        <w:rPr>
          <w:rFonts w:ascii="Aptos" w:hAnsi="Aptos"/>
          <w:sz w:val="20"/>
          <w:szCs w:val="20"/>
        </w:rPr>
        <w:t>projektem</w:t>
      </w:r>
      <w:r w:rsidRPr="00DA0649">
        <w:rPr>
          <w:rFonts w:ascii="Aptos" w:hAnsi="Aptos"/>
          <w:sz w:val="20"/>
          <w:szCs w:val="20"/>
        </w:rPr>
        <w:t xml:space="preserve"> „Fragment“</w:t>
      </w:r>
    </w:p>
    <w:p w14:paraId="6ECB326B" w14:textId="5D48212F" w:rsidR="006536B7" w:rsidRPr="00DA0649" w:rsidRDefault="006536B7" w:rsidP="006536B7">
      <w:pPr>
        <w:pStyle w:val="Odstavecseseznamem"/>
        <w:numPr>
          <w:ilvl w:val="0"/>
          <w:numId w:val="10"/>
        </w:numPr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 xml:space="preserve">Erik Janovský (Mint) s </w:t>
      </w:r>
      <w:r w:rsidR="001E29C4" w:rsidRPr="00DA0649">
        <w:rPr>
          <w:rFonts w:ascii="Aptos" w:hAnsi="Aptos"/>
          <w:sz w:val="20"/>
          <w:szCs w:val="20"/>
        </w:rPr>
        <w:t>projektem</w:t>
      </w:r>
      <w:r w:rsidRPr="00DA0649">
        <w:rPr>
          <w:rFonts w:ascii="Aptos" w:hAnsi="Aptos"/>
          <w:sz w:val="20"/>
          <w:szCs w:val="20"/>
        </w:rPr>
        <w:t xml:space="preserve"> „Vysočanský mlýn“</w:t>
      </w:r>
    </w:p>
    <w:p w14:paraId="67A7B13C" w14:textId="651D5E98" w:rsidR="006536B7" w:rsidRPr="00DA0649" w:rsidRDefault="006536B7" w:rsidP="005F6245">
      <w:pPr>
        <w:pStyle w:val="Odstavecseseznamem"/>
        <w:numPr>
          <w:ilvl w:val="0"/>
          <w:numId w:val="10"/>
        </w:numPr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 xml:space="preserve">Michal Nečas (Zeitgeist Asset Management) s </w:t>
      </w:r>
      <w:r w:rsidR="001E29C4" w:rsidRPr="00DA0649">
        <w:rPr>
          <w:rFonts w:ascii="Aptos" w:hAnsi="Aptos"/>
          <w:sz w:val="20"/>
          <w:szCs w:val="20"/>
        </w:rPr>
        <w:t>projektem</w:t>
      </w:r>
      <w:r w:rsidRPr="00DA0649">
        <w:rPr>
          <w:rFonts w:ascii="Aptos" w:hAnsi="Aptos"/>
          <w:sz w:val="20"/>
          <w:szCs w:val="20"/>
        </w:rPr>
        <w:t xml:space="preserve"> „Vítové 4</w:t>
      </w:r>
      <w:r w:rsidR="00C34E2E" w:rsidRPr="00DA0649">
        <w:rPr>
          <w:rFonts w:ascii="Aptos" w:hAnsi="Aptos"/>
          <w:sz w:val="20"/>
          <w:szCs w:val="20"/>
        </w:rPr>
        <w:t xml:space="preserve">, </w:t>
      </w:r>
      <w:r w:rsidRPr="00DA0649">
        <w:rPr>
          <w:rFonts w:ascii="Aptos" w:hAnsi="Aptos"/>
          <w:sz w:val="20"/>
          <w:szCs w:val="20"/>
        </w:rPr>
        <w:t>Delta Hagibor“</w:t>
      </w:r>
    </w:p>
    <w:p w14:paraId="719718E4" w14:textId="77777777" w:rsidR="006536B7" w:rsidRPr="00DA0649" w:rsidRDefault="006536B7" w:rsidP="005F6245">
      <w:pPr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1C74438B" w14:textId="77777777" w:rsidR="006536B7" w:rsidRPr="00DA0649" w:rsidRDefault="006536B7" w:rsidP="005F6245">
      <w:pPr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5FE2FAA4" w14:textId="000FD572" w:rsidR="008E4909" w:rsidRPr="00DA0649" w:rsidRDefault="008E4909" w:rsidP="005F6245">
      <w:pPr>
        <w:spacing w:before="0" w:after="0" w:line="240" w:lineRule="auto"/>
        <w:jc w:val="both"/>
        <w:rPr>
          <w:rFonts w:ascii="Aptos" w:hAnsi="Aptos"/>
          <w:b/>
          <w:bCs/>
          <w:sz w:val="24"/>
          <w:szCs w:val="24"/>
        </w:rPr>
      </w:pPr>
      <w:r w:rsidRPr="00DA0649">
        <w:rPr>
          <w:rFonts w:ascii="Aptos" w:hAnsi="Aptos"/>
          <w:b/>
          <w:bCs/>
          <w:sz w:val="24"/>
          <w:szCs w:val="24"/>
        </w:rPr>
        <w:t>O společnosti BTR Consulting</w:t>
      </w:r>
    </w:p>
    <w:p w14:paraId="5D8091EF" w14:textId="77777777" w:rsidR="00EA1059" w:rsidRPr="00DA0649" w:rsidRDefault="00EA1059" w:rsidP="005F6245">
      <w:pPr>
        <w:spacing w:before="0" w:after="0" w:line="240" w:lineRule="auto"/>
        <w:jc w:val="both"/>
        <w:rPr>
          <w:rFonts w:ascii="Aptos" w:hAnsi="Aptos"/>
          <w:b/>
          <w:bCs/>
          <w:sz w:val="20"/>
          <w:szCs w:val="20"/>
        </w:rPr>
      </w:pPr>
    </w:p>
    <w:p w14:paraId="78E97B98" w14:textId="77777777" w:rsidR="00E66B82" w:rsidRPr="00DA0649" w:rsidRDefault="00E66B82" w:rsidP="005F6245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BTR Consulting je česká společnost specializující se na komplexní služby v oblasti nájemního bydlení, známé jako Build-to-Rent (BTR). Nabízí poradenství při akvizicích a prodejích projektů, odborné konzultace, tvorbu marketingových strategií, management nájemních domů, pronájem bytů, optimalizaci výstavby i vybavování bytových jednotek. Společnost byla založena v roce 2021 Zuzanou Chudobou, která má mnohaleté zkušenosti z oboru real estate. Dříve pracovala pro nadnárodního developera, kde se podílela na významných projektech rezidenčního bydlení. Za BTR dnes stojí odborníci s dvacetiletými zkušenostmi z developmentu, realit a správy nemovitostí, jejichž znalosti vycházejí jak z českého prostředí, tak ze zahraničních trhů. </w:t>
      </w:r>
    </w:p>
    <w:p w14:paraId="30377526" w14:textId="77777777" w:rsidR="00E66B82" w:rsidRPr="00DA0649" w:rsidRDefault="00E66B82" w:rsidP="005F6245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 </w:t>
      </w:r>
    </w:p>
    <w:p w14:paraId="5A960F7D" w14:textId="77777777" w:rsidR="00E66B82" w:rsidRPr="00DA0649" w:rsidRDefault="00E66B82" w:rsidP="005F6245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BTR Consulting klade důraz na individuální přístup ke klientům, kvalitu poskytovaných služeb a budování dlouhodobých partnerských vztahů. Společnost působí po celé České republice, je členem Asociace nájemního bydlení a Asociace pro rozvoj trhu nemovitostí (ARTN). </w:t>
      </w:r>
    </w:p>
    <w:p w14:paraId="688C14F9" w14:textId="77777777" w:rsidR="00EA1059" w:rsidRPr="00DA0649" w:rsidRDefault="00EA1059" w:rsidP="005F6245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43890345" w14:textId="77777777" w:rsidR="00E66B82" w:rsidRPr="00DA0649" w:rsidRDefault="00E66B82" w:rsidP="005F6245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 xml:space="preserve">Více informací naleznete na webových stránkách </w:t>
      </w:r>
      <w:hyperlink r:id="rId10" w:tgtFrame="_blank" w:history="1">
        <w:r w:rsidRPr="00DA0649">
          <w:rPr>
            <w:rStyle w:val="Hypertextovodkaz"/>
            <w:rFonts w:ascii="Aptos" w:hAnsi="Aptos"/>
            <w:sz w:val="20"/>
            <w:szCs w:val="20"/>
          </w:rPr>
          <w:t>www.btrconsulting.cz</w:t>
        </w:r>
      </w:hyperlink>
      <w:r w:rsidRPr="00DA0649">
        <w:rPr>
          <w:rFonts w:ascii="Aptos" w:hAnsi="Aptos"/>
          <w:sz w:val="20"/>
          <w:szCs w:val="20"/>
        </w:rPr>
        <w:t>. </w:t>
      </w:r>
    </w:p>
    <w:p w14:paraId="122356C6" w14:textId="77777777" w:rsidR="00E66B82" w:rsidRPr="00DA0649" w:rsidRDefault="00E66B82" w:rsidP="005F6245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  <w:szCs w:val="20"/>
        </w:rPr>
      </w:pPr>
    </w:p>
    <w:p w14:paraId="0B543817" w14:textId="77777777" w:rsidR="00A71605" w:rsidRPr="00DA0649" w:rsidRDefault="00A71605" w:rsidP="005F6245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b/>
          <w:bCs/>
          <w:sz w:val="20"/>
          <w:szCs w:val="20"/>
        </w:rPr>
      </w:pPr>
    </w:p>
    <w:p w14:paraId="623B3C4D" w14:textId="68A4B792" w:rsidR="00E66B82" w:rsidRPr="00DA0649" w:rsidRDefault="00E66B82" w:rsidP="005F6245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b/>
          <w:bCs/>
          <w:sz w:val="20"/>
          <w:szCs w:val="20"/>
        </w:rPr>
        <w:t>Pro další informace se prosím obraťte na:</w:t>
      </w:r>
      <w:r w:rsidRPr="00DA0649">
        <w:rPr>
          <w:rFonts w:ascii="Aptos" w:hAnsi="Aptos"/>
          <w:sz w:val="20"/>
          <w:szCs w:val="20"/>
        </w:rPr>
        <w:t> </w:t>
      </w:r>
    </w:p>
    <w:p w14:paraId="1D9AC5E9" w14:textId="77777777" w:rsidR="00A71605" w:rsidRPr="00DA0649" w:rsidRDefault="00A71605" w:rsidP="005F6245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p w14:paraId="3234887A" w14:textId="70C4B1A2" w:rsidR="00E66B82" w:rsidRPr="00DA0649" w:rsidRDefault="00E66B82" w:rsidP="005F6245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r w:rsidRPr="00DA0649">
        <w:rPr>
          <w:rFonts w:ascii="Aptos" w:hAnsi="Aptos"/>
          <w:sz w:val="20"/>
          <w:szCs w:val="20"/>
        </w:rPr>
        <w:t>Marcela Štefcová </w:t>
      </w:r>
    </w:p>
    <w:p w14:paraId="246478A1" w14:textId="77777777" w:rsidR="00E66B82" w:rsidRPr="00DA0649" w:rsidRDefault="00E66B82" w:rsidP="005F6245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  <w:hyperlink r:id="rId11" w:tgtFrame="_blank" w:history="1">
        <w:r w:rsidRPr="00DA0649">
          <w:rPr>
            <w:rStyle w:val="Hypertextovodkaz"/>
            <w:rFonts w:ascii="Aptos" w:hAnsi="Aptos"/>
            <w:sz w:val="20"/>
            <w:szCs w:val="20"/>
          </w:rPr>
          <w:t>marcela.stefcova@btrconsulting.cz</w:t>
        </w:r>
      </w:hyperlink>
      <w:r w:rsidRPr="00DA0649">
        <w:rPr>
          <w:rFonts w:ascii="Aptos" w:hAnsi="Aptos"/>
          <w:sz w:val="20"/>
          <w:szCs w:val="20"/>
        </w:rPr>
        <w:t> </w:t>
      </w:r>
    </w:p>
    <w:p w14:paraId="40FDB3AE" w14:textId="005FDE8D" w:rsidR="008E4909" w:rsidRPr="00DA0649" w:rsidRDefault="008E4909" w:rsidP="005F6245">
      <w:pPr>
        <w:autoSpaceDE w:val="0"/>
        <w:autoSpaceDN w:val="0"/>
        <w:adjustRightInd w:val="0"/>
        <w:spacing w:before="0" w:after="0" w:line="240" w:lineRule="auto"/>
        <w:jc w:val="both"/>
        <w:rPr>
          <w:rFonts w:ascii="Aptos" w:hAnsi="Aptos"/>
          <w:sz w:val="20"/>
          <w:szCs w:val="20"/>
        </w:rPr>
      </w:pPr>
    </w:p>
    <w:sectPr w:rsidR="008E4909" w:rsidRPr="00DA0649" w:rsidSect="00023442">
      <w:headerReference w:type="default" r:id="rId12"/>
      <w:footerReference w:type="default" r:id="rId13"/>
      <w:pgSz w:w="11906" w:h="16838"/>
      <w:pgMar w:top="1985" w:right="1417" w:bottom="1276" w:left="1417" w:header="68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98D00" w14:textId="77777777" w:rsidR="006547A2" w:rsidRDefault="006547A2" w:rsidP="001C3AD5">
      <w:pPr>
        <w:spacing w:before="0" w:after="0" w:line="240" w:lineRule="auto"/>
      </w:pPr>
      <w:r>
        <w:separator/>
      </w:r>
    </w:p>
  </w:endnote>
  <w:endnote w:type="continuationSeparator" w:id="0">
    <w:p w14:paraId="1A377195" w14:textId="77777777" w:rsidR="006547A2" w:rsidRDefault="006547A2" w:rsidP="001C3AD5">
      <w:pPr>
        <w:spacing w:before="0" w:after="0" w:line="240" w:lineRule="auto"/>
      </w:pPr>
      <w:r>
        <w:continuationSeparator/>
      </w:r>
    </w:p>
  </w:endnote>
  <w:endnote w:type="continuationNotice" w:id="1">
    <w:p w14:paraId="7DCDC51D" w14:textId="77777777" w:rsidR="006547A2" w:rsidRDefault="006547A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otham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Gotham-Book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Gotham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0B5C8" w14:textId="77777777" w:rsidR="00843A26" w:rsidRDefault="00843A26" w:rsidP="00843A26">
    <w:pPr>
      <w:autoSpaceDE w:val="0"/>
      <w:autoSpaceDN w:val="0"/>
      <w:adjustRightInd w:val="0"/>
      <w:spacing w:after="0" w:line="276" w:lineRule="auto"/>
      <w:rPr>
        <w:rFonts w:cs="Gotham-Bold"/>
        <w:b/>
        <w:bCs/>
        <w:sz w:val="14"/>
        <w:szCs w:val="14"/>
      </w:rPr>
    </w:pPr>
  </w:p>
  <w:p w14:paraId="4CEA99F0" w14:textId="77777777" w:rsidR="00843A26" w:rsidRDefault="002904AA" w:rsidP="00843A26">
    <w:pPr>
      <w:autoSpaceDE w:val="0"/>
      <w:autoSpaceDN w:val="0"/>
      <w:adjustRightInd w:val="0"/>
      <w:spacing w:after="0" w:line="276" w:lineRule="auto"/>
      <w:rPr>
        <w:rFonts w:cs="Gotham-Bold"/>
        <w:b/>
        <w:bCs/>
        <w:sz w:val="14"/>
        <w:szCs w:val="14"/>
      </w:rPr>
    </w:pPr>
    <w:r w:rsidRPr="002904AA">
      <w:rPr>
        <w:rFonts w:cs="Gotham-Bold"/>
        <w:b/>
        <w:bCs/>
        <w:sz w:val="14"/>
        <w:szCs w:val="14"/>
      </w:rPr>
      <w:t>BTR Consulting s.r.o.</w:t>
    </w:r>
  </w:p>
  <w:p w14:paraId="5F2075AF" w14:textId="77777777" w:rsidR="00843A26" w:rsidRDefault="00490C12" w:rsidP="00843A26">
    <w:pPr>
      <w:autoSpaceDE w:val="0"/>
      <w:autoSpaceDN w:val="0"/>
      <w:adjustRightInd w:val="0"/>
      <w:spacing w:after="0" w:line="276" w:lineRule="auto"/>
      <w:rPr>
        <w:rFonts w:cs="Gotham-Book"/>
        <w:sz w:val="14"/>
        <w:szCs w:val="14"/>
      </w:rPr>
    </w:pPr>
    <w:r>
      <w:rPr>
        <w:rFonts w:cs="Gotham-Book"/>
        <w:sz w:val="14"/>
        <w:szCs w:val="14"/>
      </w:rPr>
      <w:t>TELEHOUSE</w:t>
    </w:r>
    <w:r w:rsidR="002904AA" w:rsidRPr="002904AA">
      <w:rPr>
        <w:rFonts w:cs="Gotham-Book"/>
        <w:sz w:val="14"/>
        <w:szCs w:val="14"/>
      </w:rPr>
      <w:t>, Generála Píky 430/26, 160 00 Praha 6</w:t>
    </w:r>
    <w:r>
      <w:rPr>
        <w:rFonts w:cs="Gotham-Book"/>
        <w:sz w:val="14"/>
        <w:szCs w:val="14"/>
      </w:rPr>
      <w:t xml:space="preserve"> - Dejvice</w:t>
    </w:r>
  </w:p>
  <w:p w14:paraId="7B4FB12F" w14:textId="77777777" w:rsidR="002904AA" w:rsidRDefault="002904AA" w:rsidP="00843A26">
    <w:pPr>
      <w:autoSpaceDE w:val="0"/>
      <w:autoSpaceDN w:val="0"/>
      <w:adjustRightInd w:val="0"/>
      <w:spacing w:after="0" w:line="276" w:lineRule="auto"/>
      <w:rPr>
        <w:rFonts w:cs="Gotham-Book"/>
        <w:sz w:val="14"/>
        <w:szCs w:val="14"/>
      </w:rPr>
    </w:pPr>
    <w:r w:rsidRPr="002904AA">
      <w:rPr>
        <w:rFonts w:cs="Gotham-Book"/>
        <w:sz w:val="14"/>
        <w:szCs w:val="14"/>
      </w:rPr>
      <w:t>IČ: 14042606 DIČ: CZ14042606</w:t>
    </w:r>
  </w:p>
  <w:p w14:paraId="3B4D4685" w14:textId="77777777" w:rsidR="002904AA" w:rsidRPr="002904AA" w:rsidRDefault="002904AA" w:rsidP="002904AA">
    <w:pPr>
      <w:pStyle w:val="Zpat"/>
      <w:rPr>
        <w:rFonts w:cs="Gotham-Book"/>
        <w:sz w:val="14"/>
        <w:szCs w:val="14"/>
      </w:rPr>
    </w:pPr>
  </w:p>
  <w:p w14:paraId="1E972C44" w14:textId="77777777" w:rsidR="002904AA" w:rsidRPr="002904AA" w:rsidRDefault="002904AA" w:rsidP="002904AA">
    <w:pPr>
      <w:pStyle w:val="Zpat"/>
      <w:rPr>
        <w:sz w:val="14"/>
        <w:szCs w:val="14"/>
      </w:rPr>
    </w:pPr>
    <w:r w:rsidRPr="002904AA">
      <w:rPr>
        <w:rFonts w:cs="Gotham-Medium"/>
        <w:color w:val="59C1D5"/>
        <w:sz w:val="14"/>
        <w:szCs w:val="14"/>
      </w:rPr>
      <w:t xml:space="preserve">T.: </w:t>
    </w:r>
    <w:r w:rsidRPr="002904AA">
      <w:rPr>
        <w:rFonts w:cs="Gotham-Book"/>
        <w:color w:val="000000"/>
        <w:sz w:val="14"/>
        <w:szCs w:val="14"/>
      </w:rPr>
      <w:t xml:space="preserve">+ 420 724 884 760 </w:t>
    </w:r>
    <w:r w:rsidRPr="002904AA">
      <w:rPr>
        <w:rFonts w:cs="Gotham-Medium"/>
        <w:color w:val="59C1D5"/>
        <w:sz w:val="14"/>
        <w:szCs w:val="14"/>
      </w:rPr>
      <w:t>E.:</w:t>
    </w:r>
    <w:r w:rsidRPr="002904AA">
      <w:rPr>
        <w:rFonts w:cs="Gotham-Medium"/>
        <w:color w:val="61FFD4"/>
        <w:sz w:val="14"/>
        <w:szCs w:val="14"/>
      </w:rPr>
      <w:t xml:space="preserve"> </w:t>
    </w:r>
    <w:r w:rsidRPr="002904AA">
      <w:rPr>
        <w:rFonts w:cs="Gotham-Book"/>
        <w:color w:val="000000"/>
        <w:sz w:val="14"/>
        <w:szCs w:val="14"/>
      </w:rPr>
      <w:t xml:space="preserve">info@btrconsulting.cz </w:t>
    </w:r>
    <w:r w:rsidRPr="002904AA">
      <w:rPr>
        <w:rFonts w:cs="Gotham-Medium"/>
        <w:color w:val="59C1D5"/>
        <w:sz w:val="14"/>
        <w:szCs w:val="14"/>
      </w:rPr>
      <w:t>W.:</w:t>
    </w:r>
    <w:r w:rsidRPr="002904AA">
      <w:rPr>
        <w:rFonts w:cs="Gotham-Medium"/>
        <w:color w:val="61FFD4"/>
        <w:sz w:val="14"/>
        <w:szCs w:val="14"/>
      </w:rPr>
      <w:t xml:space="preserve"> </w:t>
    </w:r>
    <w:r w:rsidRPr="002904AA">
      <w:rPr>
        <w:rFonts w:cs="Gotham-Book"/>
        <w:color w:val="000000"/>
        <w:sz w:val="14"/>
        <w:szCs w:val="14"/>
      </w:rPr>
      <w:t>www.btrconsulting.cz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FF61D" w14:textId="77777777" w:rsidR="006547A2" w:rsidRDefault="006547A2" w:rsidP="001C3AD5">
      <w:pPr>
        <w:spacing w:before="0" w:after="0" w:line="240" w:lineRule="auto"/>
      </w:pPr>
      <w:r>
        <w:separator/>
      </w:r>
    </w:p>
  </w:footnote>
  <w:footnote w:type="continuationSeparator" w:id="0">
    <w:p w14:paraId="6EEAA7D5" w14:textId="77777777" w:rsidR="006547A2" w:rsidRDefault="006547A2" w:rsidP="001C3AD5">
      <w:pPr>
        <w:spacing w:before="0" w:after="0" w:line="240" w:lineRule="auto"/>
      </w:pPr>
      <w:r>
        <w:continuationSeparator/>
      </w:r>
    </w:p>
  </w:footnote>
  <w:footnote w:type="continuationNotice" w:id="1">
    <w:p w14:paraId="12AD9A91" w14:textId="77777777" w:rsidR="006547A2" w:rsidRDefault="006547A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32045" w14:textId="0059A9CE" w:rsidR="001C3AD5" w:rsidRDefault="005F6245" w:rsidP="002904AA">
    <w:pPr>
      <w:pStyle w:val="Zhlav"/>
      <w:ind w:hanging="567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41439D" wp14:editId="4466CD94">
          <wp:simplePos x="0" y="0"/>
          <wp:positionH relativeFrom="column">
            <wp:posOffset>-149165</wp:posOffset>
          </wp:positionH>
          <wp:positionV relativeFrom="paragraph">
            <wp:posOffset>40087</wp:posOffset>
          </wp:positionV>
          <wp:extent cx="1689100" cy="567502"/>
          <wp:effectExtent l="0" t="0" r="0" b="0"/>
          <wp:wrapTight wrapText="bothSides">
            <wp:wrapPolygon edited="0">
              <wp:start x="1786" y="968"/>
              <wp:lineTo x="487" y="9675"/>
              <wp:lineTo x="162" y="10159"/>
              <wp:lineTo x="812" y="13545"/>
              <wp:lineTo x="1786" y="17415"/>
              <wp:lineTo x="1786" y="19834"/>
              <wp:lineTo x="2598" y="19834"/>
              <wp:lineTo x="2761" y="18867"/>
              <wp:lineTo x="21438" y="16932"/>
              <wp:lineTo x="21438" y="11127"/>
              <wp:lineTo x="11856" y="9675"/>
              <wp:lineTo x="12180" y="5321"/>
              <wp:lineTo x="10881" y="3870"/>
              <wp:lineTo x="2761" y="968"/>
              <wp:lineTo x="1786" y="968"/>
            </wp:wrapPolygon>
          </wp:wrapTight>
          <wp:docPr id="560401782" name="Picture 1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401782" name="Picture 1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567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043F3"/>
    <w:multiLevelType w:val="hybridMultilevel"/>
    <w:tmpl w:val="09FE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936F1"/>
    <w:multiLevelType w:val="hybridMultilevel"/>
    <w:tmpl w:val="E808FC2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253596"/>
    <w:multiLevelType w:val="hybridMultilevel"/>
    <w:tmpl w:val="C96EF3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B060F"/>
    <w:multiLevelType w:val="hybridMultilevel"/>
    <w:tmpl w:val="3B6066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B3FD1"/>
    <w:multiLevelType w:val="multilevel"/>
    <w:tmpl w:val="CD5CC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3C08B5"/>
    <w:multiLevelType w:val="hybridMultilevel"/>
    <w:tmpl w:val="5DB41BE8"/>
    <w:lvl w:ilvl="0" w:tplc="F726F1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48A5C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19CD1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67CAB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C2C8E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740C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B1272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F9A71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BF290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6" w15:restartNumberingAfterBreak="0">
    <w:nsid w:val="4C784A0F"/>
    <w:multiLevelType w:val="hybridMultilevel"/>
    <w:tmpl w:val="CAE40EB6"/>
    <w:lvl w:ilvl="0" w:tplc="20E41826">
      <w:start w:val="18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7717D"/>
    <w:multiLevelType w:val="hybridMultilevel"/>
    <w:tmpl w:val="30CA3902"/>
    <w:lvl w:ilvl="0" w:tplc="73C4B9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C3029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F52FB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3208D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564F4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A1021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3FA61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BE644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B687D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8" w15:restartNumberingAfterBreak="0">
    <w:nsid w:val="5D665CF5"/>
    <w:multiLevelType w:val="hybridMultilevel"/>
    <w:tmpl w:val="F84C0822"/>
    <w:lvl w:ilvl="0" w:tplc="040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9" w15:restartNumberingAfterBreak="0">
    <w:nsid w:val="5E5E11D2"/>
    <w:multiLevelType w:val="hybridMultilevel"/>
    <w:tmpl w:val="C2746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D04E42"/>
    <w:multiLevelType w:val="multilevel"/>
    <w:tmpl w:val="1A96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58960C9"/>
    <w:multiLevelType w:val="hybridMultilevel"/>
    <w:tmpl w:val="881AC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216606"/>
    <w:multiLevelType w:val="hybridMultilevel"/>
    <w:tmpl w:val="614E6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361179">
    <w:abstractNumId w:val="3"/>
  </w:num>
  <w:num w:numId="2" w16cid:durableId="127013198">
    <w:abstractNumId w:val="6"/>
  </w:num>
  <w:num w:numId="3" w16cid:durableId="1758747603">
    <w:abstractNumId w:val="10"/>
  </w:num>
  <w:num w:numId="4" w16cid:durableId="238177058">
    <w:abstractNumId w:val="4"/>
  </w:num>
  <w:num w:numId="5" w16cid:durableId="569586357">
    <w:abstractNumId w:val="8"/>
  </w:num>
  <w:num w:numId="6" w16cid:durableId="686295244">
    <w:abstractNumId w:val="2"/>
  </w:num>
  <w:num w:numId="7" w16cid:durableId="1277448180">
    <w:abstractNumId w:val="1"/>
  </w:num>
  <w:num w:numId="8" w16cid:durableId="2104185497">
    <w:abstractNumId w:val="12"/>
  </w:num>
  <w:num w:numId="9" w16cid:durableId="1214120975">
    <w:abstractNumId w:val="9"/>
  </w:num>
  <w:num w:numId="10" w16cid:durableId="1234269234">
    <w:abstractNumId w:val="11"/>
  </w:num>
  <w:num w:numId="11" w16cid:durableId="230192646">
    <w:abstractNumId w:val="7"/>
  </w:num>
  <w:num w:numId="12" w16cid:durableId="183175378">
    <w:abstractNumId w:val="5"/>
  </w:num>
  <w:num w:numId="13" w16cid:durableId="800344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D0D"/>
    <w:rsid w:val="00003917"/>
    <w:rsid w:val="00006A21"/>
    <w:rsid w:val="00012051"/>
    <w:rsid w:val="00013B12"/>
    <w:rsid w:val="00014B12"/>
    <w:rsid w:val="00022028"/>
    <w:rsid w:val="00023442"/>
    <w:rsid w:val="0002567F"/>
    <w:rsid w:val="0003088C"/>
    <w:rsid w:val="000316C1"/>
    <w:rsid w:val="00056C5D"/>
    <w:rsid w:val="00061060"/>
    <w:rsid w:val="00066A6E"/>
    <w:rsid w:val="00071D38"/>
    <w:rsid w:val="000A74A0"/>
    <w:rsid w:val="000A74B0"/>
    <w:rsid w:val="000B1B6D"/>
    <w:rsid w:val="000B365D"/>
    <w:rsid w:val="000B6BA1"/>
    <w:rsid w:val="000B73CD"/>
    <w:rsid w:val="000C1E8D"/>
    <w:rsid w:val="000C2399"/>
    <w:rsid w:val="000C361C"/>
    <w:rsid w:val="000E020B"/>
    <w:rsid w:val="000F3126"/>
    <w:rsid w:val="000F32EF"/>
    <w:rsid w:val="00101947"/>
    <w:rsid w:val="00103312"/>
    <w:rsid w:val="00127761"/>
    <w:rsid w:val="00127C26"/>
    <w:rsid w:val="00150D0D"/>
    <w:rsid w:val="00152BB9"/>
    <w:rsid w:val="00153CDE"/>
    <w:rsid w:val="00157D8A"/>
    <w:rsid w:val="0016174D"/>
    <w:rsid w:val="00164804"/>
    <w:rsid w:val="00173CF4"/>
    <w:rsid w:val="00175547"/>
    <w:rsid w:val="00175602"/>
    <w:rsid w:val="001858FF"/>
    <w:rsid w:val="00187D41"/>
    <w:rsid w:val="00191CED"/>
    <w:rsid w:val="001A7FFE"/>
    <w:rsid w:val="001B588B"/>
    <w:rsid w:val="001C3AD5"/>
    <w:rsid w:val="001C41B4"/>
    <w:rsid w:val="001E0A20"/>
    <w:rsid w:val="001E29C4"/>
    <w:rsid w:val="001E5705"/>
    <w:rsid w:val="001F1AFB"/>
    <w:rsid w:val="001F1C40"/>
    <w:rsid w:val="00211D93"/>
    <w:rsid w:val="00214518"/>
    <w:rsid w:val="002274B1"/>
    <w:rsid w:val="00231202"/>
    <w:rsid w:val="00247AA5"/>
    <w:rsid w:val="00250A2C"/>
    <w:rsid w:val="002564E3"/>
    <w:rsid w:val="00265410"/>
    <w:rsid w:val="002670E9"/>
    <w:rsid w:val="00272270"/>
    <w:rsid w:val="002904AA"/>
    <w:rsid w:val="0029309D"/>
    <w:rsid w:val="002A35C0"/>
    <w:rsid w:val="002A4154"/>
    <w:rsid w:val="002A4753"/>
    <w:rsid w:val="002D235C"/>
    <w:rsid w:val="002E3E29"/>
    <w:rsid w:val="002F3BA1"/>
    <w:rsid w:val="003003EF"/>
    <w:rsid w:val="00304F4B"/>
    <w:rsid w:val="00324303"/>
    <w:rsid w:val="00325A58"/>
    <w:rsid w:val="00370476"/>
    <w:rsid w:val="003803ED"/>
    <w:rsid w:val="00384C0B"/>
    <w:rsid w:val="003911C9"/>
    <w:rsid w:val="003A0D75"/>
    <w:rsid w:val="003A784B"/>
    <w:rsid w:val="003C2916"/>
    <w:rsid w:val="003C56CF"/>
    <w:rsid w:val="003C5B0A"/>
    <w:rsid w:val="003C7FF9"/>
    <w:rsid w:val="003D078C"/>
    <w:rsid w:val="003D3BAA"/>
    <w:rsid w:val="003E19C2"/>
    <w:rsid w:val="003E50A8"/>
    <w:rsid w:val="003F4C43"/>
    <w:rsid w:val="00404DF1"/>
    <w:rsid w:val="0041041D"/>
    <w:rsid w:val="004260AA"/>
    <w:rsid w:val="00427B36"/>
    <w:rsid w:val="00431B0A"/>
    <w:rsid w:val="004566EE"/>
    <w:rsid w:val="004653AA"/>
    <w:rsid w:val="00473CC6"/>
    <w:rsid w:val="00480C04"/>
    <w:rsid w:val="00484170"/>
    <w:rsid w:val="00490AEA"/>
    <w:rsid w:val="00490C12"/>
    <w:rsid w:val="00496CE3"/>
    <w:rsid w:val="004A1E56"/>
    <w:rsid w:val="004A364E"/>
    <w:rsid w:val="004C3D13"/>
    <w:rsid w:val="004C44BC"/>
    <w:rsid w:val="004D6624"/>
    <w:rsid w:val="004E1D12"/>
    <w:rsid w:val="004F19AD"/>
    <w:rsid w:val="004F72DD"/>
    <w:rsid w:val="00512B52"/>
    <w:rsid w:val="00555BB1"/>
    <w:rsid w:val="00570483"/>
    <w:rsid w:val="005900EB"/>
    <w:rsid w:val="005975BA"/>
    <w:rsid w:val="005B4AE5"/>
    <w:rsid w:val="005B65B1"/>
    <w:rsid w:val="005B7FF9"/>
    <w:rsid w:val="005C0083"/>
    <w:rsid w:val="005C3FC9"/>
    <w:rsid w:val="005F20E0"/>
    <w:rsid w:val="005F6245"/>
    <w:rsid w:val="005F7D5C"/>
    <w:rsid w:val="00605376"/>
    <w:rsid w:val="006116FE"/>
    <w:rsid w:val="00613224"/>
    <w:rsid w:val="00615A0D"/>
    <w:rsid w:val="006271B8"/>
    <w:rsid w:val="0063147B"/>
    <w:rsid w:val="00632BA8"/>
    <w:rsid w:val="00637CD0"/>
    <w:rsid w:val="00640906"/>
    <w:rsid w:val="00646B16"/>
    <w:rsid w:val="00652A98"/>
    <w:rsid w:val="006536B7"/>
    <w:rsid w:val="006547A2"/>
    <w:rsid w:val="00656708"/>
    <w:rsid w:val="00693390"/>
    <w:rsid w:val="006A01CA"/>
    <w:rsid w:val="006B4E2A"/>
    <w:rsid w:val="006B6D70"/>
    <w:rsid w:val="006B7329"/>
    <w:rsid w:val="006C536F"/>
    <w:rsid w:val="006C6A74"/>
    <w:rsid w:val="006C720F"/>
    <w:rsid w:val="006D44AB"/>
    <w:rsid w:val="006D48A7"/>
    <w:rsid w:val="006D6253"/>
    <w:rsid w:val="006E3CAA"/>
    <w:rsid w:val="0070212B"/>
    <w:rsid w:val="00721A8C"/>
    <w:rsid w:val="00724A95"/>
    <w:rsid w:val="00724EE9"/>
    <w:rsid w:val="007272BB"/>
    <w:rsid w:val="00727514"/>
    <w:rsid w:val="007307F1"/>
    <w:rsid w:val="00741279"/>
    <w:rsid w:val="00752139"/>
    <w:rsid w:val="0075370A"/>
    <w:rsid w:val="00753CAD"/>
    <w:rsid w:val="007673E3"/>
    <w:rsid w:val="007734A8"/>
    <w:rsid w:val="00787D21"/>
    <w:rsid w:val="007903C0"/>
    <w:rsid w:val="007975B4"/>
    <w:rsid w:val="007A086B"/>
    <w:rsid w:val="007A264B"/>
    <w:rsid w:val="007A4EED"/>
    <w:rsid w:val="007B029B"/>
    <w:rsid w:val="007B5BA9"/>
    <w:rsid w:val="007D3050"/>
    <w:rsid w:val="007E019D"/>
    <w:rsid w:val="00800431"/>
    <w:rsid w:val="00815577"/>
    <w:rsid w:val="0081745D"/>
    <w:rsid w:val="00834EA2"/>
    <w:rsid w:val="00835D6D"/>
    <w:rsid w:val="00843038"/>
    <w:rsid w:val="00843A26"/>
    <w:rsid w:val="00843F97"/>
    <w:rsid w:val="008479D0"/>
    <w:rsid w:val="008524CC"/>
    <w:rsid w:val="00852691"/>
    <w:rsid w:val="008540BB"/>
    <w:rsid w:val="0086755C"/>
    <w:rsid w:val="00882299"/>
    <w:rsid w:val="00891E9A"/>
    <w:rsid w:val="008A65CE"/>
    <w:rsid w:val="008B3A33"/>
    <w:rsid w:val="008D0A81"/>
    <w:rsid w:val="008D3751"/>
    <w:rsid w:val="008D3757"/>
    <w:rsid w:val="008D6061"/>
    <w:rsid w:val="008E1EC4"/>
    <w:rsid w:val="008E4909"/>
    <w:rsid w:val="00903B40"/>
    <w:rsid w:val="00917F00"/>
    <w:rsid w:val="00925A53"/>
    <w:rsid w:val="009410F5"/>
    <w:rsid w:val="00943813"/>
    <w:rsid w:val="00954200"/>
    <w:rsid w:val="0096556B"/>
    <w:rsid w:val="00966634"/>
    <w:rsid w:val="009734D4"/>
    <w:rsid w:val="0098065B"/>
    <w:rsid w:val="009A310C"/>
    <w:rsid w:val="009B60A9"/>
    <w:rsid w:val="009C5ED8"/>
    <w:rsid w:val="009D2812"/>
    <w:rsid w:val="009E5364"/>
    <w:rsid w:val="009E7EBF"/>
    <w:rsid w:val="009F2857"/>
    <w:rsid w:val="00A30FD4"/>
    <w:rsid w:val="00A50BAD"/>
    <w:rsid w:val="00A529C1"/>
    <w:rsid w:val="00A57771"/>
    <w:rsid w:val="00A6146B"/>
    <w:rsid w:val="00A62284"/>
    <w:rsid w:val="00A71605"/>
    <w:rsid w:val="00A728B4"/>
    <w:rsid w:val="00A732D3"/>
    <w:rsid w:val="00A868B4"/>
    <w:rsid w:val="00A86B19"/>
    <w:rsid w:val="00A91F3C"/>
    <w:rsid w:val="00AA2571"/>
    <w:rsid w:val="00AB63BB"/>
    <w:rsid w:val="00AC0F2E"/>
    <w:rsid w:val="00AC579A"/>
    <w:rsid w:val="00AD380F"/>
    <w:rsid w:val="00AF3F88"/>
    <w:rsid w:val="00B02F84"/>
    <w:rsid w:val="00B127AE"/>
    <w:rsid w:val="00B14B77"/>
    <w:rsid w:val="00B16753"/>
    <w:rsid w:val="00B22227"/>
    <w:rsid w:val="00B248C2"/>
    <w:rsid w:val="00B31B3C"/>
    <w:rsid w:val="00B4105B"/>
    <w:rsid w:val="00B41C7E"/>
    <w:rsid w:val="00B46710"/>
    <w:rsid w:val="00B73C53"/>
    <w:rsid w:val="00B81F2C"/>
    <w:rsid w:val="00B82C92"/>
    <w:rsid w:val="00B95DCF"/>
    <w:rsid w:val="00BB205E"/>
    <w:rsid w:val="00BD05FF"/>
    <w:rsid w:val="00BE01F3"/>
    <w:rsid w:val="00BF3CF3"/>
    <w:rsid w:val="00BF6F07"/>
    <w:rsid w:val="00C05118"/>
    <w:rsid w:val="00C24096"/>
    <w:rsid w:val="00C30E83"/>
    <w:rsid w:val="00C316D4"/>
    <w:rsid w:val="00C34E2E"/>
    <w:rsid w:val="00C55F9C"/>
    <w:rsid w:val="00C668C9"/>
    <w:rsid w:val="00C67637"/>
    <w:rsid w:val="00C70374"/>
    <w:rsid w:val="00C83F16"/>
    <w:rsid w:val="00C8483B"/>
    <w:rsid w:val="00C851B3"/>
    <w:rsid w:val="00C8703A"/>
    <w:rsid w:val="00C938C9"/>
    <w:rsid w:val="00CA2199"/>
    <w:rsid w:val="00CA2B87"/>
    <w:rsid w:val="00CA2CA7"/>
    <w:rsid w:val="00CD25AB"/>
    <w:rsid w:val="00CE3EA3"/>
    <w:rsid w:val="00CE487B"/>
    <w:rsid w:val="00CE6221"/>
    <w:rsid w:val="00D04B32"/>
    <w:rsid w:val="00D06ACF"/>
    <w:rsid w:val="00D1005F"/>
    <w:rsid w:val="00D1227E"/>
    <w:rsid w:val="00D12F09"/>
    <w:rsid w:val="00D145C4"/>
    <w:rsid w:val="00D173DA"/>
    <w:rsid w:val="00D20D58"/>
    <w:rsid w:val="00D24D3E"/>
    <w:rsid w:val="00D47EDC"/>
    <w:rsid w:val="00D61C11"/>
    <w:rsid w:val="00D671E5"/>
    <w:rsid w:val="00D674BB"/>
    <w:rsid w:val="00D71284"/>
    <w:rsid w:val="00D77C06"/>
    <w:rsid w:val="00D91213"/>
    <w:rsid w:val="00DA0649"/>
    <w:rsid w:val="00DB0B9F"/>
    <w:rsid w:val="00DB6DF0"/>
    <w:rsid w:val="00DD3757"/>
    <w:rsid w:val="00DE1C09"/>
    <w:rsid w:val="00DF16D1"/>
    <w:rsid w:val="00DF7E2E"/>
    <w:rsid w:val="00E01282"/>
    <w:rsid w:val="00E01967"/>
    <w:rsid w:val="00E01C07"/>
    <w:rsid w:val="00E03757"/>
    <w:rsid w:val="00E04EC5"/>
    <w:rsid w:val="00E32830"/>
    <w:rsid w:val="00E511BF"/>
    <w:rsid w:val="00E56524"/>
    <w:rsid w:val="00E60BF4"/>
    <w:rsid w:val="00E6653C"/>
    <w:rsid w:val="00E66B82"/>
    <w:rsid w:val="00E73418"/>
    <w:rsid w:val="00E80F0B"/>
    <w:rsid w:val="00E82625"/>
    <w:rsid w:val="00E964AA"/>
    <w:rsid w:val="00EA0246"/>
    <w:rsid w:val="00EA1059"/>
    <w:rsid w:val="00EA7E30"/>
    <w:rsid w:val="00EB5A1D"/>
    <w:rsid w:val="00EB5C95"/>
    <w:rsid w:val="00EC6A63"/>
    <w:rsid w:val="00ED1BFF"/>
    <w:rsid w:val="00ED68DF"/>
    <w:rsid w:val="00EE1936"/>
    <w:rsid w:val="00EF0D80"/>
    <w:rsid w:val="00EF0F4E"/>
    <w:rsid w:val="00EF6D26"/>
    <w:rsid w:val="00EF6E2C"/>
    <w:rsid w:val="00F070BC"/>
    <w:rsid w:val="00F1310D"/>
    <w:rsid w:val="00F1628C"/>
    <w:rsid w:val="00F20082"/>
    <w:rsid w:val="00F2244D"/>
    <w:rsid w:val="00F3600D"/>
    <w:rsid w:val="00F444E3"/>
    <w:rsid w:val="00F45E9F"/>
    <w:rsid w:val="00F47C44"/>
    <w:rsid w:val="00F51110"/>
    <w:rsid w:val="00F520A7"/>
    <w:rsid w:val="00F53B80"/>
    <w:rsid w:val="00F6259D"/>
    <w:rsid w:val="00F64767"/>
    <w:rsid w:val="00F67A59"/>
    <w:rsid w:val="00F93D92"/>
    <w:rsid w:val="00F950DB"/>
    <w:rsid w:val="00FA2DBB"/>
    <w:rsid w:val="00FA4D9D"/>
    <w:rsid w:val="00FB50AD"/>
    <w:rsid w:val="00FB7ACA"/>
    <w:rsid w:val="00FC53E4"/>
    <w:rsid w:val="00FD67E7"/>
    <w:rsid w:val="00FE723C"/>
    <w:rsid w:val="00FE7E70"/>
    <w:rsid w:val="00FF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ACBDC4"/>
  <w15:chartTrackingRefBased/>
  <w15:docId w15:val="{E62A00A2-B1A1-49D2-A4AB-DD133450D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82299"/>
    <w:pPr>
      <w:spacing w:before="120" w:after="280" w:line="360" w:lineRule="auto"/>
    </w:pPr>
    <w:rPr>
      <w:rFonts w:ascii="Verdana" w:hAnsi="Verdana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C3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3AD5"/>
  </w:style>
  <w:style w:type="paragraph" w:styleId="Zpat">
    <w:name w:val="footer"/>
    <w:basedOn w:val="Normln"/>
    <w:link w:val="ZpatChar"/>
    <w:uiPriority w:val="99"/>
    <w:unhideWhenUsed/>
    <w:rsid w:val="001C3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3AD5"/>
  </w:style>
  <w:style w:type="paragraph" w:styleId="Normlnweb">
    <w:name w:val="Normal (Web)"/>
    <w:basedOn w:val="Normln"/>
    <w:uiPriority w:val="99"/>
    <w:unhideWhenUsed/>
    <w:rsid w:val="00C66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F2244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2244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2244D"/>
    <w:rPr>
      <w:rFonts w:ascii="Verdana" w:hAnsi="Verdan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2244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2244D"/>
    <w:rPr>
      <w:rFonts w:ascii="Verdana" w:hAnsi="Verdana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9A310C"/>
    <w:pPr>
      <w:ind w:left="720"/>
      <w:contextualSpacing/>
    </w:pPr>
  </w:style>
  <w:style w:type="paragraph" w:styleId="Bezmezer">
    <w:name w:val="No Spacing"/>
    <w:uiPriority w:val="1"/>
    <w:qFormat/>
    <w:rsid w:val="00B46710"/>
    <w:pPr>
      <w:spacing w:after="0" w:line="240" w:lineRule="auto"/>
    </w:pPr>
    <w:rPr>
      <w:rFonts w:ascii="Verdana" w:hAnsi="Verdana"/>
      <w:sz w:val="16"/>
    </w:rPr>
  </w:style>
  <w:style w:type="character" w:styleId="Hypertextovodkaz">
    <w:name w:val="Hyperlink"/>
    <w:basedOn w:val="Standardnpsmoodstavce"/>
    <w:uiPriority w:val="99"/>
    <w:unhideWhenUsed/>
    <w:rsid w:val="00E01967"/>
    <w:rPr>
      <w:color w:val="0000FF"/>
      <w:u w:val="single"/>
    </w:rPr>
  </w:style>
  <w:style w:type="paragraph" w:styleId="Revize">
    <w:name w:val="Revision"/>
    <w:hidden/>
    <w:uiPriority w:val="99"/>
    <w:semiHidden/>
    <w:rsid w:val="000C361C"/>
    <w:pPr>
      <w:spacing w:after="0" w:line="240" w:lineRule="auto"/>
    </w:pPr>
    <w:rPr>
      <w:rFonts w:ascii="Verdana" w:hAnsi="Verdana"/>
      <w:sz w:val="16"/>
    </w:rPr>
  </w:style>
  <w:style w:type="paragraph" w:customStyle="1" w:styleId="-wm-msolistparagraph">
    <w:name w:val="-wm-msolistparagraph"/>
    <w:basedOn w:val="Normln"/>
    <w:rsid w:val="009F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101947"/>
    <w:rPr>
      <w:color w:val="605E5C"/>
      <w:shd w:val="clear" w:color="auto" w:fill="E1DFDD"/>
    </w:rPr>
  </w:style>
  <w:style w:type="paragraph" w:customStyle="1" w:styleId="pf0">
    <w:name w:val="pf0"/>
    <w:basedOn w:val="Normln"/>
    <w:rsid w:val="006D6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f01">
    <w:name w:val="cf01"/>
    <w:basedOn w:val="Standardnpsmoodstavce"/>
    <w:rsid w:val="006D6253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Standardnpsmoodstavce"/>
    <w:rsid w:val="006D6253"/>
    <w:rPr>
      <w:rFonts w:ascii="Segoe UI" w:hAnsi="Segoe UI" w:cs="Segoe UI" w:hint="default"/>
      <w:sz w:val="18"/>
      <w:szCs w:val="18"/>
    </w:rPr>
  </w:style>
  <w:style w:type="character" w:styleId="Siln">
    <w:name w:val="Strong"/>
    <w:basedOn w:val="Standardnpsmoodstavce"/>
    <w:uiPriority w:val="22"/>
    <w:qFormat/>
    <w:rsid w:val="00E82625"/>
    <w:rPr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20D58"/>
    <w:pPr>
      <w:spacing w:before="0" w:after="0" w:line="240" w:lineRule="auto"/>
    </w:pPr>
    <w:rPr>
      <w:rFonts w:ascii="Calibri" w:eastAsia="Times New Roman" w:hAnsi="Calibri" w:cs="Calibri"/>
      <w:sz w:val="22"/>
      <w:szCs w:val="21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20D58"/>
    <w:rPr>
      <w:rFonts w:ascii="Calibri" w:eastAsia="Times New Roman" w:hAnsi="Calibri" w:cs="Calibri"/>
      <w:szCs w:val="21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72270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72270"/>
    <w:rPr>
      <w:rFonts w:ascii="Verdana" w:hAnsi="Verdana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722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4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rcela.stefcova@btrconsulting.cz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btrconsulting.cz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a\Downloads\BTR%20Hlavi&#269;kov&#253;%20pap&#237;r%20-%20&#353;ablon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16306330844E4C9B8776F3B9A1C366" ma:contentTypeVersion="16" ma:contentTypeDescription="Vytvoří nový dokument" ma:contentTypeScope="" ma:versionID="7f729f8c58c37cc1ea0fff8a14eb0282">
  <xsd:schema xmlns:xsd="http://www.w3.org/2001/XMLSchema" xmlns:xs="http://www.w3.org/2001/XMLSchema" xmlns:p="http://schemas.microsoft.com/office/2006/metadata/properties" xmlns:ns2="e2125f72-7095-4e4f-8a92-644bb72cb0b7" xmlns:ns3="15843b9d-6740-4968-8d02-a3f960f148ff" targetNamespace="http://schemas.microsoft.com/office/2006/metadata/properties" ma:root="true" ma:fieldsID="17cdd571b309665bddadf9e0f8c15139" ns2:_="" ns3:_="">
    <xsd:import namespace="e2125f72-7095-4e4f-8a92-644bb72cb0b7"/>
    <xsd:import namespace="15843b9d-6740-4968-8d02-a3f960f148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25f72-7095-4e4f-8a92-644bb72cb0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dc83c467-d23d-469f-9e27-13bc7a46f6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43b9d-6740-4968-8d02-a3f960f148f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51a3243-e406-40ff-8f07-04e5f654c0a6}" ma:internalName="TaxCatchAll" ma:showField="CatchAllData" ma:web="15843b9d-6740-4968-8d02-a3f960f148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2E1261-A256-4160-A2AE-60FE56FDDF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E0C5DD-CCA9-46D6-9164-F2AFBCAB90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4C21E7-3A49-4B07-849F-FC2984DF37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125f72-7095-4e4f-8a92-644bb72cb0b7"/>
    <ds:schemaRef ds:uri="15843b9d-6740-4968-8d02-a3f960f148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BTR Hlavičkový papír - šablona.dotx</Template>
  <TotalTime>12</TotalTime>
  <Pages>4</Pages>
  <Words>1818</Words>
  <Characters>10728</Characters>
  <Application>Microsoft Office Word</Application>
  <DocSecurity>0</DocSecurity>
  <Lines>89</Lines>
  <Paragraphs>25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</dc:creator>
  <cp:keywords/>
  <dc:description/>
  <cp:lastModifiedBy>Marcela Stefcova</cp:lastModifiedBy>
  <cp:revision>2</cp:revision>
  <cp:lastPrinted>2022-06-10T08:58:00Z</cp:lastPrinted>
  <dcterms:created xsi:type="dcterms:W3CDTF">2025-04-14T13:30:00Z</dcterms:created>
  <dcterms:modified xsi:type="dcterms:W3CDTF">2025-04-14T13:30:00Z</dcterms:modified>
</cp:coreProperties>
</file>